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04"/>
        <w:tblW w:w="9648" w:type="dxa"/>
        <w:tblLook w:val="01E0" w:firstRow="1" w:lastRow="1" w:firstColumn="1" w:lastColumn="1" w:noHBand="0" w:noVBand="0"/>
      </w:tblPr>
      <w:tblGrid>
        <w:gridCol w:w="9648"/>
      </w:tblGrid>
      <w:tr w:rsidR="00D66CBB" w:rsidRPr="00B439BA" w14:paraId="4298183B" w14:textId="77777777" w:rsidTr="00D66CBB">
        <w:trPr>
          <w:trHeight w:val="993"/>
        </w:trPr>
        <w:tc>
          <w:tcPr>
            <w:tcW w:w="9648" w:type="dxa"/>
            <w:vAlign w:val="center"/>
          </w:tcPr>
          <w:p w14:paraId="3546DE72" w14:textId="77777777" w:rsidR="00D66CBB" w:rsidRPr="00B439BA" w:rsidRDefault="00D66CBB" w:rsidP="00D66CBB">
            <w:pPr>
              <w:jc w:val="center"/>
              <w:rPr>
                <w:rFonts w:ascii="Book Antiqua" w:eastAsia="MS Mincho" w:hAnsi="Book Antiqua" w:cs="Book Antiqua"/>
              </w:rPr>
            </w:pPr>
            <w:r>
              <w:rPr>
                <w:rFonts w:eastAsia="MS Mincho"/>
                <w:noProof/>
                <w:lang w:val="en-US"/>
              </w:rPr>
              <w:drawing>
                <wp:anchor distT="0" distB="0" distL="114300" distR="114300" simplePos="0" relativeHeight="251705344" behindDoc="1" locked="0" layoutInCell="1" allowOverlap="1" wp14:anchorId="1505EEA7" wp14:editId="1FA13A7C">
                  <wp:simplePos x="0" y="0"/>
                  <wp:positionH relativeFrom="column">
                    <wp:posOffset>2580640</wp:posOffset>
                  </wp:positionH>
                  <wp:positionV relativeFrom="paragraph">
                    <wp:posOffset>24130</wp:posOffset>
                  </wp:positionV>
                  <wp:extent cx="838200" cy="9283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7AD08B36" w14:textId="77777777" w:rsidR="00D66CBB" w:rsidRPr="00B439BA" w:rsidRDefault="00D66CBB" w:rsidP="00D66CBB">
            <w:pPr>
              <w:jc w:val="center"/>
              <w:rPr>
                <w:rFonts w:ascii="Book Antiqua" w:eastAsia="MS Mincho" w:hAnsi="Book Antiqua" w:cs="Book Antiqua"/>
              </w:rPr>
            </w:pPr>
          </w:p>
          <w:p w14:paraId="2D79819E" w14:textId="77777777" w:rsidR="00D66CBB" w:rsidRPr="00B439BA" w:rsidRDefault="00D66CBB" w:rsidP="00D66CBB">
            <w:pPr>
              <w:jc w:val="center"/>
              <w:rPr>
                <w:rFonts w:ascii="Book Antiqua" w:eastAsia="MS Mincho" w:hAnsi="Book Antiqua" w:cs="Book Antiqua"/>
              </w:rPr>
            </w:pPr>
          </w:p>
          <w:p w14:paraId="296E4C90" w14:textId="77777777" w:rsidR="00D66CBB" w:rsidRPr="00B439BA" w:rsidRDefault="00D66CBB" w:rsidP="00D66CBB">
            <w:pPr>
              <w:jc w:val="center"/>
              <w:rPr>
                <w:rFonts w:ascii="Book Antiqua" w:eastAsia="MS Mincho" w:hAnsi="Book Antiqua" w:cs="Book Antiqua"/>
              </w:rPr>
            </w:pPr>
          </w:p>
          <w:p w14:paraId="077BF2B4" w14:textId="77777777" w:rsidR="00D66CBB" w:rsidRPr="00B439BA" w:rsidRDefault="00D66CBB" w:rsidP="00D66CBB">
            <w:pPr>
              <w:jc w:val="center"/>
              <w:rPr>
                <w:rFonts w:ascii="Book Antiqua" w:eastAsia="MS Mincho" w:hAnsi="Book Antiqua" w:cs="Book Antiqua"/>
              </w:rPr>
            </w:pPr>
          </w:p>
          <w:p w14:paraId="391A9452" w14:textId="77777777" w:rsidR="00D66CBB" w:rsidRPr="00B439BA" w:rsidRDefault="00D66CBB" w:rsidP="00D66CBB">
            <w:pPr>
              <w:rPr>
                <w:rFonts w:ascii="Book Antiqua" w:eastAsia="MS Mincho" w:hAnsi="Book Antiqua" w:cs="Book Antiqua"/>
                <w:b/>
                <w:bCs/>
              </w:rPr>
            </w:pPr>
          </w:p>
          <w:p w14:paraId="4BB8D8B8" w14:textId="77777777" w:rsidR="00D66CBB" w:rsidRPr="00B439BA" w:rsidRDefault="00D66CBB" w:rsidP="00D66CBB">
            <w:pPr>
              <w:jc w:val="center"/>
              <w:rPr>
                <w:rFonts w:ascii="Book Antiqua" w:eastAsia="Batang" w:hAnsi="Book Antiqua"/>
                <w:b/>
                <w:bCs/>
                <w:sz w:val="32"/>
                <w:szCs w:val="32"/>
                <w:lang w:val="sv-SE"/>
              </w:rPr>
            </w:pPr>
            <w:bookmarkStart w:id="0" w:name="OLE_LINK3"/>
            <w:r w:rsidRPr="00B439BA">
              <w:rPr>
                <w:rFonts w:ascii="Book Antiqua" w:eastAsia="MS Mincho" w:hAnsi="Book Antiqua" w:cs="Book Antiqua"/>
                <w:b/>
                <w:bCs/>
                <w:sz w:val="32"/>
                <w:szCs w:val="32"/>
              </w:rPr>
              <w:t>Republika e Kosovës</w:t>
            </w:r>
          </w:p>
          <w:p w14:paraId="0D5ED6E6" w14:textId="77777777" w:rsidR="00D66CBB" w:rsidRPr="00B439BA" w:rsidRDefault="00D66CBB" w:rsidP="00D66CBB">
            <w:pPr>
              <w:jc w:val="center"/>
              <w:rPr>
                <w:rFonts w:ascii="Book Antiqua" w:eastAsia="MS Mincho" w:hAnsi="Book Antiqua" w:cs="Book Antiqua"/>
                <w:b/>
                <w:bCs/>
                <w:sz w:val="26"/>
                <w:szCs w:val="26"/>
                <w:lang w:val="sv-SE"/>
              </w:rPr>
            </w:pPr>
            <w:r w:rsidRPr="00B439BA">
              <w:rPr>
                <w:rFonts w:ascii="Book Antiqua" w:eastAsia="Batang" w:hAnsi="Book Antiqua" w:cs="Book Antiqua"/>
                <w:b/>
                <w:bCs/>
                <w:sz w:val="26"/>
                <w:szCs w:val="26"/>
                <w:lang w:val="sv-SE"/>
              </w:rPr>
              <w:t>Republika Kosova-</w:t>
            </w:r>
            <w:r w:rsidRPr="00B439BA">
              <w:rPr>
                <w:rFonts w:ascii="Book Antiqua" w:eastAsia="MS Mincho" w:hAnsi="Book Antiqua" w:cs="Book Antiqua"/>
                <w:b/>
                <w:bCs/>
                <w:sz w:val="26"/>
                <w:szCs w:val="26"/>
                <w:lang w:val="sv-SE"/>
              </w:rPr>
              <w:t xml:space="preserve">Republic of </w:t>
            </w:r>
            <w:r w:rsidRPr="00B439BA">
              <w:rPr>
                <w:rFonts w:ascii="Book Antiqua" w:eastAsia="MS Mincho" w:hAnsi="Book Antiqua" w:cs="Book Antiqua"/>
                <w:b/>
                <w:bCs/>
                <w:sz w:val="26"/>
                <w:szCs w:val="26"/>
              </w:rPr>
              <w:t>Kosovo</w:t>
            </w:r>
          </w:p>
          <w:p w14:paraId="0A66F70C" w14:textId="77777777" w:rsidR="00D66CBB" w:rsidRPr="00B439BA" w:rsidRDefault="00D66CBB" w:rsidP="00D66CBB">
            <w:pPr>
              <w:jc w:val="center"/>
              <w:rPr>
                <w:rFonts w:ascii="Book Antiqua" w:eastAsia="MS Mincho" w:hAnsi="Book Antiqua" w:cs="Book Antiqua"/>
                <w:b/>
                <w:bCs/>
                <w:i/>
                <w:iCs/>
              </w:rPr>
            </w:pPr>
            <w:r w:rsidRPr="00B439BA">
              <w:rPr>
                <w:rFonts w:ascii="Book Antiqua" w:eastAsia="MS Mincho" w:hAnsi="Book Antiqua" w:cs="Book Antiqua"/>
                <w:b/>
                <w:bCs/>
                <w:i/>
                <w:iCs/>
              </w:rPr>
              <w:t xml:space="preserve">Qeveria –Vlada-Government </w:t>
            </w:r>
            <w:bookmarkEnd w:id="0"/>
          </w:p>
          <w:p w14:paraId="2B203165" w14:textId="77777777" w:rsidR="00D66CBB" w:rsidRPr="00B439BA" w:rsidRDefault="00D66CBB" w:rsidP="00D66CBB">
            <w:pPr>
              <w:rPr>
                <w:rFonts w:ascii="Book Antiqua" w:eastAsia="MS Mincho" w:hAnsi="Book Antiqua" w:cs="Book Antiqua"/>
                <w:sz w:val="18"/>
                <w:szCs w:val="18"/>
              </w:rPr>
            </w:pPr>
          </w:p>
          <w:p w14:paraId="0D13C5B6" w14:textId="77777777" w:rsidR="00D66CBB" w:rsidRPr="00B439BA" w:rsidRDefault="00D66CBB" w:rsidP="00D66CBB">
            <w:pPr>
              <w:jc w:val="center"/>
              <w:rPr>
                <w:rFonts w:ascii="Book Antiqua" w:eastAsia="MS Mincho" w:hAnsi="Book Antiqua" w:cs="Book Antiqua"/>
                <w:i/>
                <w:iCs/>
              </w:rPr>
            </w:pPr>
            <w:r w:rsidRPr="00B439BA">
              <w:rPr>
                <w:rFonts w:ascii="Book Antiqua" w:eastAsia="MS Mincho" w:hAnsi="Book Antiqua" w:cs="Book Antiqua"/>
                <w:i/>
                <w:iCs/>
              </w:rPr>
              <w:t>Zyra e Kryeministrit-Ured Premijera-Office of the Prime Minister</w:t>
            </w:r>
          </w:p>
          <w:p w14:paraId="4A949EAC" w14:textId="77777777" w:rsidR="00D66CBB" w:rsidRPr="00B439BA" w:rsidRDefault="00D66CBB" w:rsidP="00D66CBB">
            <w:pPr>
              <w:pStyle w:val="Title"/>
              <w:rPr>
                <w:rFonts w:ascii="Book Antiqua" w:hAnsi="Book Antiqua" w:cs="Book Antiqua"/>
                <w:sz w:val="18"/>
                <w:szCs w:val="18"/>
              </w:rPr>
            </w:pPr>
          </w:p>
        </w:tc>
      </w:tr>
      <w:tr w:rsidR="00D66CBB" w:rsidRPr="00B439BA" w14:paraId="16BE13AF" w14:textId="77777777" w:rsidTr="00D66CBB">
        <w:tc>
          <w:tcPr>
            <w:tcW w:w="9648" w:type="dxa"/>
            <w:vAlign w:val="center"/>
          </w:tcPr>
          <w:p w14:paraId="5FE670EA" w14:textId="77777777" w:rsidR="00D66CBB" w:rsidRPr="00B439BA" w:rsidRDefault="00D66CBB" w:rsidP="00D66CBB">
            <w:pPr>
              <w:pStyle w:val="Caption"/>
              <w:rPr>
                <w:rFonts w:ascii="Book Antiqua" w:hAnsi="Book Antiqua" w:cs="Book Antiqua"/>
                <w:sz w:val="14"/>
                <w:szCs w:val="14"/>
              </w:rPr>
            </w:pPr>
            <w:bookmarkStart w:id="1" w:name="OLE_LINK1"/>
            <w:bookmarkStart w:id="2" w:name="OLE_LINK2"/>
          </w:p>
          <w:bookmarkEnd w:id="1"/>
          <w:bookmarkEnd w:id="2"/>
          <w:p w14:paraId="2686A6EA" w14:textId="77777777" w:rsidR="00D66CBB" w:rsidRPr="00B439BA" w:rsidRDefault="00D66CBB" w:rsidP="00D66CBB">
            <w:pPr>
              <w:jc w:val="center"/>
              <w:rPr>
                <w:rFonts w:ascii="Book Antiqua" w:eastAsia="MS Mincho" w:hAnsi="Book Antiqua" w:cs="Book Antiqua"/>
                <w:szCs w:val="20"/>
              </w:rPr>
            </w:pPr>
            <w:r w:rsidRPr="00B439BA">
              <w:rPr>
                <w:rFonts w:ascii="Book Antiqua" w:eastAsia="MS Mincho" w:hAnsi="Book Antiqua" w:cs="Book Antiqua"/>
                <w:szCs w:val="20"/>
              </w:rPr>
              <w:t>Zyra për Qeverisje të Mirë/Kancelarija za Dobro Upravljanje/Office on Good Governance</w:t>
            </w:r>
          </w:p>
        </w:tc>
      </w:tr>
    </w:tbl>
    <w:sdt>
      <w:sdtPr>
        <w:rPr>
          <w:rFonts w:eastAsiaTheme="minorHAnsi" w:cs="Calibri Light"/>
          <w:spacing w:val="0"/>
          <w:kern w:val="0"/>
          <w:sz w:val="20"/>
          <w:szCs w:val="22"/>
          <w:lang w:val="sq-AL"/>
        </w:rPr>
        <w:id w:val="1400628266"/>
        <w:docPartObj>
          <w:docPartGallery w:val="Cover Pages"/>
          <w:docPartUnique/>
        </w:docPartObj>
      </w:sdtPr>
      <w:sdtEndPr/>
      <w:sdtContent>
        <w:p w14:paraId="13B76BF8" w14:textId="510B07CD" w:rsidR="00F82DD5" w:rsidRPr="00082FA3" w:rsidRDefault="00F82DD5" w:rsidP="00F82DD5">
          <w:pPr>
            <w:pStyle w:val="Title"/>
            <w:rPr>
              <w:rFonts w:cs="Calibri Light"/>
              <w:lang w:val="sq-AL"/>
            </w:rPr>
          </w:pPr>
        </w:p>
        <w:p w14:paraId="22E83C3C" w14:textId="3FC2C563" w:rsidR="005E57EA" w:rsidRPr="00082FA3" w:rsidRDefault="005E57EA" w:rsidP="005E57EA">
          <w:pPr>
            <w:rPr>
              <w:lang w:val="sq-AL"/>
            </w:rPr>
          </w:pPr>
        </w:p>
        <w:p w14:paraId="5DF6F11F" w14:textId="658D0ECC" w:rsidR="005E57EA" w:rsidRPr="00082FA3" w:rsidRDefault="005E57EA" w:rsidP="005E57EA">
          <w:pPr>
            <w:rPr>
              <w:lang w:val="sq-AL"/>
            </w:rPr>
          </w:pPr>
        </w:p>
        <w:p w14:paraId="6F7D8E75" w14:textId="3ECF235A" w:rsidR="005E57EA" w:rsidRPr="00082FA3" w:rsidRDefault="005E57EA" w:rsidP="005E57EA">
          <w:pPr>
            <w:rPr>
              <w:lang w:val="sq-AL"/>
            </w:rPr>
          </w:pPr>
        </w:p>
        <w:p w14:paraId="2B8C0F7C" w14:textId="373ACF14" w:rsidR="005E57EA" w:rsidRPr="00082FA3" w:rsidRDefault="005E57EA" w:rsidP="005E57EA">
          <w:pPr>
            <w:rPr>
              <w:lang w:val="sq-AL"/>
            </w:rPr>
          </w:pPr>
        </w:p>
        <w:p w14:paraId="66271398" w14:textId="3D434AF8" w:rsidR="005E57EA" w:rsidRPr="00082FA3" w:rsidRDefault="005E57EA" w:rsidP="005E57EA">
          <w:pPr>
            <w:rPr>
              <w:lang w:val="sq-AL"/>
            </w:rPr>
          </w:pPr>
        </w:p>
        <w:p w14:paraId="599FE675" w14:textId="6D281379" w:rsidR="008F793C" w:rsidRPr="00082FA3" w:rsidRDefault="008F793C" w:rsidP="005E57EA">
          <w:pPr>
            <w:rPr>
              <w:lang w:val="sq-AL"/>
            </w:rPr>
          </w:pPr>
        </w:p>
        <w:p w14:paraId="35800B7C" w14:textId="0C4557B6" w:rsidR="008F793C" w:rsidRPr="00082FA3" w:rsidRDefault="008F793C" w:rsidP="005E57EA">
          <w:pPr>
            <w:rPr>
              <w:lang w:val="sq-AL"/>
            </w:rPr>
          </w:pPr>
          <w:bookmarkStart w:id="3" w:name="_GoBack"/>
          <w:bookmarkEnd w:id="3"/>
        </w:p>
        <w:p w14:paraId="5B42956A" w14:textId="246AFB78" w:rsidR="008F793C" w:rsidRPr="00082FA3" w:rsidRDefault="008F793C" w:rsidP="005E57EA">
          <w:pPr>
            <w:rPr>
              <w:lang w:val="sq-AL"/>
            </w:rPr>
          </w:pPr>
        </w:p>
        <w:p w14:paraId="373DFD04" w14:textId="602054CC" w:rsidR="008F793C" w:rsidRPr="00082FA3" w:rsidRDefault="008F793C" w:rsidP="005E57EA">
          <w:pPr>
            <w:rPr>
              <w:lang w:val="sq-AL"/>
            </w:rPr>
          </w:pPr>
        </w:p>
        <w:p w14:paraId="536207DA" w14:textId="77777777" w:rsidR="008F793C" w:rsidRPr="00082FA3" w:rsidRDefault="008F793C" w:rsidP="005E57EA">
          <w:pPr>
            <w:rPr>
              <w:lang w:val="sq-AL"/>
            </w:rPr>
          </w:pPr>
        </w:p>
        <w:p w14:paraId="01135A25" w14:textId="77777777" w:rsidR="005E57EA" w:rsidRPr="00082FA3" w:rsidRDefault="005E57EA" w:rsidP="005E57EA">
          <w:pPr>
            <w:rPr>
              <w:lang w:val="sq-AL"/>
            </w:rPr>
          </w:pPr>
        </w:p>
        <w:sdt>
          <w:sdtPr>
            <w:rPr>
              <w:rFonts w:asciiTheme="majorHAnsi" w:eastAsiaTheme="majorEastAsia" w:hAnsiTheme="majorHAnsi" w:cstheme="majorBidi"/>
              <w:caps/>
              <w:color w:val="4F81BD" w:themeColor="accent1"/>
              <w:sz w:val="36"/>
              <w:szCs w:val="36"/>
              <w:lang w:val="sq-AL"/>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7EB5D0CC" w14:textId="129F6D7C" w:rsidR="00F82DD5" w:rsidRPr="00082FA3" w:rsidRDefault="00F82DD5" w:rsidP="00F82DD5">
              <w:pPr>
                <w:pStyle w:val="NoSpacing"/>
                <w:pBdr>
                  <w:top w:val="single" w:sz="6" w:space="6" w:color="4F81BD" w:themeColor="accent1"/>
                  <w:bottom w:val="single" w:sz="6" w:space="6" w:color="4F81BD" w:themeColor="accent1"/>
                </w:pBdr>
                <w:spacing w:after="240"/>
                <w:contextualSpacing w:val="0"/>
                <w:jc w:val="center"/>
                <w:rPr>
                  <w:rFonts w:eastAsiaTheme="majorEastAsia" w:cs="Calibri Light"/>
                  <w:spacing w:val="-10"/>
                  <w:kern w:val="28"/>
                  <w:sz w:val="28"/>
                  <w:szCs w:val="56"/>
                  <w:lang w:val="sq-AL"/>
                </w:rPr>
              </w:pPr>
              <w:r w:rsidRPr="00082FA3">
                <w:rPr>
                  <w:rFonts w:asciiTheme="majorHAnsi" w:eastAsiaTheme="majorEastAsia" w:hAnsiTheme="majorHAnsi" w:cstheme="majorBidi"/>
                  <w:caps/>
                  <w:color w:val="4F81BD" w:themeColor="accent1"/>
                  <w:sz w:val="36"/>
                  <w:szCs w:val="36"/>
                  <w:lang w:val="sq-AL"/>
                </w:rPr>
                <w:t>Vlerësimi i Implementimit të Strategjisë së Qeverisë për Bashkëpunim me Shoqërinë Civile (2013-2017)</w:t>
              </w:r>
            </w:p>
          </w:sdtContent>
        </w:sdt>
        <w:sdt>
          <w:sdtPr>
            <w:rPr>
              <w:rFonts w:cs="Calibri Light"/>
              <w:lang w:val="sq-AL"/>
            </w:rPr>
            <w:alias w:val="Subtitle"/>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14:paraId="20181BCC" w14:textId="70992FEF" w:rsidR="00F82DD5" w:rsidRPr="00082FA3" w:rsidRDefault="00C206CD" w:rsidP="00C206CD">
              <w:pPr>
                <w:pStyle w:val="Title"/>
                <w:jc w:val="both"/>
                <w:rPr>
                  <w:rFonts w:cs="Calibri Light"/>
                  <w:lang w:val="sq-AL"/>
                </w:rPr>
              </w:pPr>
              <w:r>
                <w:rPr>
                  <w:rFonts w:cs="Calibri Light"/>
                  <w:lang w:val="sq-AL"/>
                </w:rPr>
                <w:t xml:space="preserve">     </w:t>
              </w:r>
            </w:p>
          </w:sdtContent>
        </w:sdt>
        <w:p w14:paraId="79FD53DB" w14:textId="77777777" w:rsidR="00A472F0" w:rsidRPr="00082FA3" w:rsidRDefault="00A472F0" w:rsidP="00F82DD5">
          <w:pPr>
            <w:pStyle w:val="Title"/>
            <w:rPr>
              <w:rFonts w:cs="Calibri Light"/>
              <w:lang w:val="sq-AL"/>
            </w:rPr>
          </w:pPr>
        </w:p>
        <w:p w14:paraId="04835143" w14:textId="77777777" w:rsidR="00A472F0" w:rsidRPr="00082FA3" w:rsidRDefault="00A472F0" w:rsidP="00F82DD5">
          <w:pPr>
            <w:pStyle w:val="Title"/>
            <w:rPr>
              <w:rFonts w:cs="Calibri Light"/>
              <w:lang w:val="sq-AL"/>
            </w:rPr>
          </w:pPr>
        </w:p>
        <w:p w14:paraId="3E19D478" w14:textId="77777777" w:rsidR="00A472F0" w:rsidRPr="00082FA3" w:rsidRDefault="00A472F0" w:rsidP="00F82DD5">
          <w:pPr>
            <w:pStyle w:val="Title"/>
            <w:rPr>
              <w:rFonts w:cs="Calibri Light"/>
              <w:lang w:val="sq-AL"/>
            </w:rPr>
          </w:pPr>
        </w:p>
        <w:p w14:paraId="0AB1525E" w14:textId="77777777" w:rsidR="00A472F0" w:rsidRPr="00082FA3" w:rsidRDefault="00A472F0" w:rsidP="00F82DD5">
          <w:pPr>
            <w:pStyle w:val="Title"/>
            <w:rPr>
              <w:rFonts w:cs="Calibri Light"/>
              <w:lang w:val="sq-AL"/>
            </w:rPr>
          </w:pPr>
        </w:p>
        <w:p w14:paraId="6B92E61F" w14:textId="77777777" w:rsidR="00A472F0" w:rsidRPr="00082FA3" w:rsidRDefault="00A472F0" w:rsidP="00F82DD5">
          <w:pPr>
            <w:pStyle w:val="Title"/>
            <w:rPr>
              <w:rFonts w:cs="Calibri Light"/>
              <w:lang w:val="sq-AL"/>
            </w:rPr>
          </w:pPr>
        </w:p>
        <w:p w14:paraId="1010D1AD" w14:textId="77777777" w:rsidR="00A472F0" w:rsidRPr="00082FA3" w:rsidRDefault="00A472F0" w:rsidP="00F82DD5">
          <w:pPr>
            <w:pStyle w:val="Title"/>
            <w:rPr>
              <w:rFonts w:cs="Calibri Light"/>
              <w:lang w:val="sq-AL"/>
            </w:rPr>
          </w:pPr>
        </w:p>
        <w:p w14:paraId="295A06B9" w14:textId="77777777" w:rsidR="00A472F0" w:rsidRPr="00082FA3" w:rsidRDefault="00A472F0" w:rsidP="00F82DD5">
          <w:pPr>
            <w:pStyle w:val="Title"/>
            <w:rPr>
              <w:rFonts w:cs="Calibri Light"/>
              <w:lang w:val="sq-AL"/>
            </w:rPr>
          </w:pPr>
        </w:p>
        <w:p w14:paraId="6602C34E" w14:textId="77777777" w:rsidR="00A472F0" w:rsidRPr="00082FA3" w:rsidRDefault="00A472F0" w:rsidP="00F82DD5">
          <w:pPr>
            <w:pStyle w:val="Title"/>
            <w:rPr>
              <w:rFonts w:cs="Calibri Light"/>
              <w:lang w:val="sq-AL"/>
            </w:rPr>
          </w:pPr>
        </w:p>
        <w:p w14:paraId="3B981399" w14:textId="77777777" w:rsidR="00A472F0" w:rsidRPr="00082FA3" w:rsidRDefault="00A472F0" w:rsidP="00F82DD5">
          <w:pPr>
            <w:pStyle w:val="Title"/>
            <w:rPr>
              <w:rFonts w:cs="Calibri Light"/>
              <w:lang w:val="sq-AL"/>
            </w:rPr>
          </w:pPr>
        </w:p>
        <w:p w14:paraId="71DB2E76" w14:textId="6C90903D" w:rsidR="00A472F0" w:rsidRPr="00082FA3" w:rsidRDefault="00A472F0" w:rsidP="00F82DD5">
          <w:pPr>
            <w:pStyle w:val="Title"/>
            <w:rPr>
              <w:rFonts w:cs="Calibri Light"/>
              <w:lang w:val="sq-AL"/>
            </w:rPr>
          </w:pPr>
        </w:p>
        <w:p w14:paraId="0A5EDF53" w14:textId="77777777" w:rsidR="00A472F0" w:rsidRPr="00082FA3" w:rsidRDefault="00A472F0" w:rsidP="00F82DD5">
          <w:pPr>
            <w:pStyle w:val="Title"/>
            <w:rPr>
              <w:rFonts w:cs="Calibri Light"/>
              <w:lang w:val="sq-AL"/>
            </w:rPr>
          </w:pPr>
        </w:p>
        <w:p w14:paraId="3C6E049F" w14:textId="77777777" w:rsidR="00A472F0" w:rsidRPr="00082FA3" w:rsidRDefault="00A472F0" w:rsidP="00F82DD5">
          <w:pPr>
            <w:pStyle w:val="Title"/>
            <w:rPr>
              <w:rFonts w:cs="Calibri Light"/>
              <w:lang w:val="sq-AL"/>
            </w:rPr>
          </w:pPr>
        </w:p>
        <w:p w14:paraId="11151BA3" w14:textId="54E44345" w:rsidR="00A472F0" w:rsidRPr="00082FA3" w:rsidRDefault="00A472F0" w:rsidP="00F82DD5">
          <w:pPr>
            <w:pStyle w:val="Title"/>
            <w:rPr>
              <w:rFonts w:cs="Calibri Light"/>
              <w:lang w:val="sq-AL"/>
            </w:rPr>
          </w:pPr>
        </w:p>
        <w:p w14:paraId="1EF91E8F" w14:textId="4945F141" w:rsidR="00A472F0" w:rsidRPr="00082FA3" w:rsidRDefault="00A472F0" w:rsidP="00F82DD5">
          <w:pPr>
            <w:pStyle w:val="Title"/>
            <w:rPr>
              <w:rFonts w:cs="Calibri Light"/>
              <w:lang w:val="sq-AL"/>
            </w:rPr>
          </w:pPr>
        </w:p>
        <w:p w14:paraId="2A100544" w14:textId="77777777" w:rsidR="00A472F0" w:rsidRPr="00082FA3" w:rsidRDefault="00A472F0" w:rsidP="00F82DD5">
          <w:pPr>
            <w:pStyle w:val="Title"/>
            <w:rPr>
              <w:rFonts w:cs="Calibri Light"/>
              <w:lang w:val="sq-AL"/>
            </w:rPr>
          </w:pPr>
        </w:p>
        <w:p w14:paraId="70FC8F4A" w14:textId="77777777" w:rsidR="00A472F0" w:rsidRPr="00082FA3" w:rsidRDefault="00A472F0" w:rsidP="00F82DD5">
          <w:pPr>
            <w:pStyle w:val="Title"/>
            <w:rPr>
              <w:rFonts w:cs="Calibri Light"/>
              <w:lang w:val="sq-AL"/>
            </w:rPr>
          </w:pPr>
        </w:p>
        <w:p w14:paraId="7856BBD1" w14:textId="2D244719" w:rsidR="00A472F0" w:rsidRPr="00082FA3" w:rsidRDefault="00A472F0" w:rsidP="00A472F0">
          <w:pPr>
            <w:pStyle w:val="Title"/>
            <w:jc w:val="both"/>
            <w:rPr>
              <w:rFonts w:cs="Calibri Light"/>
              <w:lang w:val="sq-AL"/>
            </w:rPr>
          </w:pPr>
        </w:p>
        <w:p w14:paraId="327041CE" w14:textId="6BC82EA4" w:rsidR="00A472F0" w:rsidRPr="00082FA3" w:rsidRDefault="00361217" w:rsidP="00A472F0">
          <w:pPr>
            <w:pStyle w:val="NoSpacing"/>
            <w:jc w:val="center"/>
            <w:rPr>
              <w:color w:val="FF0000"/>
              <w:lang w:val="sq-AL"/>
            </w:rPr>
          </w:pPr>
          <w:sdt>
            <w:sdtPr>
              <w:rPr>
                <w:color w:val="FF0000"/>
                <w:lang w:val="sq-AL"/>
              </w:rPr>
              <w:alias w:val="Address"/>
              <w:tag w:val=""/>
              <w:id w:val="-1395429652"/>
              <w:showingPlcHdr/>
              <w:dataBinding w:prefixMappings="xmlns:ns0='http://schemas.microsoft.com/office/2006/coverPageProps' " w:xpath="/ns0:CoverPageProperties[1]/ns0:CompanyAddress[1]" w:storeItemID="{55AF091B-3C7A-41E3-B477-F2FDAA23CFDA}"/>
              <w:text/>
            </w:sdtPr>
            <w:sdtEndPr/>
            <w:sdtContent>
              <w:r w:rsidR="005E57EA" w:rsidRPr="00082FA3">
                <w:rPr>
                  <w:color w:val="FF0000"/>
                  <w:lang w:val="sq-AL"/>
                </w:rPr>
                <w:t xml:space="preserve">     </w:t>
              </w:r>
            </w:sdtContent>
          </w:sdt>
        </w:p>
        <w:p w14:paraId="73FEDDCE" w14:textId="77777777" w:rsidR="005E57EA" w:rsidRPr="00082FA3" w:rsidRDefault="005E57EA" w:rsidP="005E57EA">
          <w:pPr>
            <w:pStyle w:val="NoSpacing"/>
            <w:jc w:val="center"/>
            <w:rPr>
              <w:rFonts w:cs="Calibri Light"/>
              <w:color w:val="FF0000"/>
              <w:lang w:val="sq-AL"/>
            </w:rPr>
          </w:pPr>
        </w:p>
        <w:p w14:paraId="1843A8A9" w14:textId="68742674" w:rsidR="005E57EA" w:rsidRPr="00082FA3" w:rsidRDefault="005E57EA" w:rsidP="005E57EA">
          <w:pPr>
            <w:pStyle w:val="NoSpacing"/>
            <w:jc w:val="center"/>
            <w:rPr>
              <w:rFonts w:asciiTheme="minorHAnsi" w:hAnsiTheme="minorHAnsi" w:cstheme="minorHAnsi"/>
              <w:caps/>
              <w:color w:val="4F81BD" w:themeColor="accent1"/>
              <w:sz w:val="28"/>
              <w:szCs w:val="28"/>
              <w:lang w:val="sq-AL"/>
            </w:rPr>
          </w:pPr>
        </w:p>
        <w:p w14:paraId="154303D6" w14:textId="55132173" w:rsidR="004546D7" w:rsidRDefault="004546D7" w:rsidP="005E57EA">
          <w:pPr>
            <w:pStyle w:val="NoSpacing"/>
            <w:jc w:val="center"/>
            <w:rPr>
              <w:noProof/>
              <w:lang w:val="sq-AL"/>
            </w:rPr>
          </w:pPr>
        </w:p>
        <w:p w14:paraId="2AD1EDB9" w14:textId="77777777" w:rsidR="004546D7" w:rsidRDefault="004546D7" w:rsidP="005E57EA">
          <w:pPr>
            <w:pStyle w:val="NoSpacing"/>
            <w:jc w:val="center"/>
            <w:rPr>
              <w:noProof/>
              <w:lang w:val="sq-AL"/>
            </w:rPr>
          </w:pPr>
        </w:p>
        <w:p w14:paraId="09DE9134" w14:textId="3342F586" w:rsidR="00F82DD5" w:rsidRPr="00082FA3" w:rsidRDefault="008F793C" w:rsidP="005E57EA">
          <w:pPr>
            <w:pStyle w:val="NoSpacing"/>
            <w:jc w:val="center"/>
            <w:rPr>
              <w:rFonts w:cs="Calibri Light"/>
              <w:lang w:val="sq-AL"/>
            </w:rPr>
          </w:pPr>
          <w:r w:rsidRPr="00082FA3">
            <w:rPr>
              <w:noProof/>
              <w:lang w:val="sq-AL"/>
            </w:rPr>
            <w:t xml:space="preserve"> </w:t>
          </w:r>
        </w:p>
      </w:sdtContent>
    </w:sdt>
    <w:sdt>
      <w:sdtPr>
        <w:rPr>
          <w:rFonts w:cs="Calibri Light"/>
          <w:lang w:val="sq-AL"/>
        </w:rPr>
        <w:id w:val="-1072737186"/>
        <w:docPartObj>
          <w:docPartGallery w:val="Table of Contents"/>
          <w:docPartUnique/>
        </w:docPartObj>
      </w:sdtPr>
      <w:sdtEndPr>
        <w:rPr>
          <w:b/>
          <w:bCs/>
        </w:rPr>
      </w:sdtEndPr>
      <w:sdtContent>
        <w:p w14:paraId="3A752586" w14:textId="3E020E56" w:rsidR="00F82DD5" w:rsidRPr="00082FA3" w:rsidRDefault="00A024C8" w:rsidP="005E57EA">
          <w:pPr>
            <w:pStyle w:val="Title"/>
            <w:jc w:val="left"/>
            <w:rPr>
              <w:rFonts w:cs="Calibri Light"/>
              <w:lang w:val="sq-AL"/>
            </w:rPr>
          </w:pPr>
          <w:r w:rsidRPr="00082FA3">
            <w:rPr>
              <w:rFonts w:cs="Calibri Light"/>
              <w:b/>
              <w:u w:val="single"/>
              <w:lang w:val="sq-AL"/>
            </w:rPr>
            <w:t xml:space="preserve">Tabela e </w:t>
          </w:r>
          <w:r w:rsidR="005E57EA" w:rsidRPr="00082FA3">
            <w:rPr>
              <w:rFonts w:cs="Calibri Light"/>
              <w:b/>
              <w:u w:val="single"/>
              <w:lang w:val="sq-AL"/>
            </w:rPr>
            <w:t>Përmbajtj</w:t>
          </w:r>
          <w:r w:rsidRPr="00082FA3">
            <w:rPr>
              <w:rFonts w:cs="Calibri Light"/>
              <w:b/>
              <w:u w:val="single"/>
              <w:lang w:val="sq-AL"/>
            </w:rPr>
            <w:t>ës</w:t>
          </w:r>
          <w:r w:rsidRPr="00082FA3">
            <w:rPr>
              <w:rFonts w:cs="Calibri Light"/>
              <w:lang w:val="sq-AL"/>
            </w:rPr>
            <w:br/>
          </w:r>
        </w:p>
        <w:p w14:paraId="446C07F6" w14:textId="4FFEA0DC" w:rsidR="00A024C8" w:rsidRPr="00082FA3" w:rsidRDefault="00F82DD5">
          <w:pPr>
            <w:pStyle w:val="TOC1"/>
            <w:tabs>
              <w:tab w:val="right" w:leader="dot" w:pos="9062"/>
            </w:tabs>
            <w:rPr>
              <w:rFonts w:asciiTheme="minorHAnsi" w:eastAsiaTheme="minorEastAsia" w:hAnsiTheme="minorHAnsi"/>
              <w:noProof/>
              <w:sz w:val="22"/>
              <w:lang w:val="sq-AL"/>
            </w:rPr>
          </w:pPr>
          <w:r w:rsidRPr="00082FA3">
            <w:rPr>
              <w:rFonts w:eastAsiaTheme="majorEastAsia" w:cs="Calibri Light"/>
              <w:spacing w:val="-10"/>
              <w:kern w:val="28"/>
              <w:sz w:val="28"/>
              <w:szCs w:val="56"/>
              <w:lang w:val="sq-AL"/>
            </w:rPr>
            <w:fldChar w:fldCharType="begin"/>
          </w:r>
          <w:r w:rsidRPr="00082FA3">
            <w:rPr>
              <w:rFonts w:eastAsiaTheme="majorEastAsia" w:cs="Calibri Light"/>
              <w:spacing w:val="-10"/>
              <w:kern w:val="28"/>
              <w:sz w:val="28"/>
              <w:szCs w:val="56"/>
              <w:lang w:val="sq-AL"/>
            </w:rPr>
            <w:instrText xml:space="preserve"> TOC \o "1-3" \h \z \u </w:instrText>
          </w:r>
          <w:r w:rsidRPr="00082FA3">
            <w:rPr>
              <w:rFonts w:eastAsiaTheme="majorEastAsia" w:cs="Calibri Light"/>
              <w:spacing w:val="-10"/>
              <w:kern w:val="28"/>
              <w:sz w:val="28"/>
              <w:szCs w:val="56"/>
              <w:lang w:val="sq-AL"/>
            </w:rPr>
            <w:fldChar w:fldCharType="separate"/>
          </w:r>
          <w:hyperlink w:anchor="_Toc497820338" w:history="1">
            <w:r w:rsidR="00A024C8" w:rsidRPr="00082FA3">
              <w:rPr>
                <w:rStyle w:val="Hyperlink"/>
                <w:rFonts w:cs="Calibri Light"/>
                <w:noProof/>
                <w:lang w:val="sq-AL"/>
              </w:rPr>
              <w:t>Përmbledhje Ekzekutive</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_Toc497820338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3</w:t>
            </w:r>
            <w:r w:rsidR="00A024C8" w:rsidRPr="00082FA3">
              <w:rPr>
                <w:noProof/>
                <w:webHidden/>
                <w:lang w:val="sq-AL"/>
              </w:rPr>
              <w:fldChar w:fldCharType="end"/>
            </w:r>
          </w:hyperlink>
        </w:p>
        <w:p w14:paraId="7F7A34DE" w14:textId="26095F77" w:rsidR="00A024C8" w:rsidRPr="00082FA3" w:rsidRDefault="00361217">
          <w:pPr>
            <w:pStyle w:val="TOC1"/>
            <w:tabs>
              <w:tab w:val="right" w:leader="dot" w:pos="9062"/>
            </w:tabs>
            <w:rPr>
              <w:rFonts w:asciiTheme="minorHAnsi" w:eastAsiaTheme="minorEastAsia" w:hAnsiTheme="minorHAnsi"/>
              <w:noProof/>
              <w:sz w:val="22"/>
              <w:lang w:val="sq-AL"/>
            </w:rPr>
          </w:pPr>
          <w:hyperlink w:anchor="_Toc497820339" w:history="1">
            <w:r w:rsidR="00A024C8" w:rsidRPr="00082FA3">
              <w:rPr>
                <w:rStyle w:val="Hyperlink"/>
                <w:rFonts w:cs="Calibri Light"/>
                <w:noProof/>
                <w:lang w:val="sq-AL"/>
              </w:rPr>
              <w:t>1. Hyrje në studim</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_Toc497820339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5</w:t>
            </w:r>
            <w:r w:rsidR="00A024C8" w:rsidRPr="00082FA3">
              <w:rPr>
                <w:noProof/>
                <w:webHidden/>
                <w:lang w:val="sq-AL"/>
              </w:rPr>
              <w:fldChar w:fldCharType="end"/>
            </w:r>
          </w:hyperlink>
        </w:p>
        <w:p w14:paraId="0E4B13F3" w14:textId="2B859B88" w:rsidR="00A024C8" w:rsidRPr="00082FA3" w:rsidRDefault="00361217">
          <w:pPr>
            <w:pStyle w:val="TOC2"/>
            <w:tabs>
              <w:tab w:val="left" w:pos="660"/>
              <w:tab w:val="right" w:leader="dot" w:pos="9062"/>
            </w:tabs>
            <w:rPr>
              <w:rFonts w:asciiTheme="minorHAnsi" w:eastAsiaTheme="minorEastAsia" w:hAnsiTheme="minorHAnsi"/>
              <w:noProof/>
              <w:sz w:val="22"/>
              <w:lang w:val="sq-AL"/>
            </w:rPr>
          </w:pPr>
          <w:hyperlink w:anchor="_Toc497820340" w:history="1">
            <w:r w:rsidR="00A024C8" w:rsidRPr="00082FA3">
              <w:rPr>
                <w:rStyle w:val="Hyperlink"/>
                <w:rFonts w:cs="Calibri Light"/>
                <w:noProof/>
                <w:lang w:val="sq-AL"/>
              </w:rPr>
              <w:t>1.1.</w:t>
            </w:r>
            <w:r w:rsidR="00A024C8" w:rsidRPr="00082FA3">
              <w:rPr>
                <w:rFonts w:asciiTheme="minorHAnsi" w:eastAsiaTheme="minorEastAsia" w:hAnsiTheme="minorHAnsi"/>
                <w:noProof/>
                <w:sz w:val="22"/>
                <w:lang w:val="sq-AL"/>
              </w:rPr>
              <w:tab/>
            </w:r>
            <w:r w:rsidR="00A024C8" w:rsidRPr="00082FA3">
              <w:rPr>
                <w:rStyle w:val="Hyperlink"/>
                <w:rFonts w:cs="Calibri Light"/>
                <w:noProof/>
                <w:lang w:val="sq-AL"/>
              </w:rPr>
              <w:t>Historiku</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_Toc497820340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5</w:t>
            </w:r>
            <w:r w:rsidR="00A024C8" w:rsidRPr="00082FA3">
              <w:rPr>
                <w:noProof/>
                <w:webHidden/>
                <w:lang w:val="sq-AL"/>
              </w:rPr>
              <w:fldChar w:fldCharType="end"/>
            </w:r>
          </w:hyperlink>
        </w:p>
        <w:p w14:paraId="714908F2" w14:textId="598E0111" w:rsidR="00A024C8" w:rsidRPr="00082FA3" w:rsidRDefault="00361217">
          <w:pPr>
            <w:pStyle w:val="TOC2"/>
            <w:tabs>
              <w:tab w:val="left" w:pos="880"/>
              <w:tab w:val="right" w:leader="dot" w:pos="9062"/>
            </w:tabs>
            <w:rPr>
              <w:rFonts w:asciiTheme="minorHAnsi" w:eastAsiaTheme="minorEastAsia" w:hAnsiTheme="minorHAnsi"/>
              <w:noProof/>
              <w:sz w:val="22"/>
              <w:lang w:val="sq-AL"/>
            </w:rPr>
          </w:pPr>
          <w:hyperlink w:anchor="_Toc497820341" w:history="1">
            <w:r w:rsidR="00A024C8" w:rsidRPr="00082FA3">
              <w:rPr>
                <w:rStyle w:val="Hyperlink"/>
                <w:noProof/>
                <w:lang w:val="sq-AL"/>
              </w:rPr>
              <w:t>1.2.</w:t>
            </w:r>
            <w:r w:rsidR="00A024C8" w:rsidRPr="00082FA3">
              <w:rPr>
                <w:rFonts w:asciiTheme="minorHAnsi" w:eastAsiaTheme="minorEastAsia" w:hAnsiTheme="minorHAnsi"/>
                <w:noProof/>
                <w:sz w:val="22"/>
                <w:lang w:val="sq-AL"/>
              </w:rPr>
              <w:tab/>
            </w:r>
            <w:r w:rsidR="00A024C8" w:rsidRPr="00082FA3">
              <w:rPr>
                <w:rStyle w:val="Hyperlink"/>
                <w:noProof/>
                <w:lang w:val="sq-AL"/>
              </w:rPr>
              <w:t>Përmbajtja e Strategjisë</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_Toc497820341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6</w:t>
            </w:r>
            <w:r w:rsidR="00A024C8" w:rsidRPr="00082FA3">
              <w:rPr>
                <w:noProof/>
                <w:webHidden/>
                <w:lang w:val="sq-AL"/>
              </w:rPr>
              <w:fldChar w:fldCharType="end"/>
            </w:r>
          </w:hyperlink>
        </w:p>
        <w:p w14:paraId="19E92A8C" w14:textId="1F869C4F"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42" w:history="1">
            <w:r w:rsidR="00A024C8" w:rsidRPr="00082FA3">
              <w:rPr>
                <w:rStyle w:val="Hyperlink"/>
                <w:rFonts w:cs="Calibri Light"/>
                <w:noProof/>
                <w:lang w:val="sq-AL"/>
              </w:rPr>
              <w:t>1.3. Objektivat e vlerësimit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_Toc497820342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7</w:t>
            </w:r>
            <w:r w:rsidR="00A024C8" w:rsidRPr="00082FA3">
              <w:rPr>
                <w:noProof/>
                <w:webHidden/>
                <w:lang w:val="sq-AL"/>
              </w:rPr>
              <w:fldChar w:fldCharType="end"/>
            </w:r>
          </w:hyperlink>
        </w:p>
        <w:p w14:paraId="2111EF70" w14:textId="1E3943CE"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43" w:history="1">
            <w:r w:rsidR="00A024C8" w:rsidRPr="00082FA3">
              <w:rPr>
                <w:rStyle w:val="Hyperlink"/>
                <w:rFonts w:cs="Calibri Light"/>
                <w:noProof/>
                <w:lang w:val="sq-AL"/>
              </w:rPr>
              <w:t>1.4. Metodologjia</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_Toc497820343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7</w:t>
            </w:r>
            <w:r w:rsidR="00A024C8" w:rsidRPr="00082FA3">
              <w:rPr>
                <w:noProof/>
                <w:webHidden/>
                <w:lang w:val="sq-AL"/>
              </w:rPr>
              <w:fldChar w:fldCharType="end"/>
            </w:r>
          </w:hyperlink>
        </w:p>
        <w:p w14:paraId="481B6677" w14:textId="72E8327F"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44" w:history="1">
            <w:r w:rsidR="00A024C8" w:rsidRPr="00082FA3">
              <w:rPr>
                <w:rStyle w:val="Hyperlink"/>
                <w:rFonts w:cs="Calibri Light"/>
                <w:noProof/>
                <w:lang w:val="sq-AL"/>
              </w:rPr>
              <w:t>1.5. Struktura e këtij Raporti</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_Toc497820344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8</w:t>
            </w:r>
            <w:r w:rsidR="00A024C8" w:rsidRPr="00082FA3">
              <w:rPr>
                <w:noProof/>
                <w:webHidden/>
                <w:lang w:val="sq-AL"/>
              </w:rPr>
              <w:fldChar w:fldCharType="end"/>
            </w:r>
          </w:hyperlink>
        </w:p>
        <w:p w14:paraId="5E36C7B5" w14:textId="2696CE6D" w:rsidR="00A024C8" w:rsidRPr="00082FA3" w:rsidRDefault="00361217">
          <w:pPr>
            <w:pStyle w:val="TOC1"/>
            <w:tabs>
              <w:tab w:val="right" w:leader="dot" w:pos="9062"/>
            </w:tabs>
            <w:rPr>
              <w:rFonts w:asciiTheme="minorHAnsi" w:eastAsiaTheme="minorEastAsia" w:hAnsiTheme="minorHAnsi"/>
              <w:noProof/>
              <w:sz w:val="22"/>
              <w:lang w:val="sq-AL"/>
            </w:rPr>
          </w:pPr>
          <w:hyperlink w:anchor="_Toc497820345" w:history="1">
            <w:r w:rsidR="00A024C8" w:rsidRPr="00082FA3">
              <w:rPr>
                <w:rStyle w:val="Hyperlink"/>
                <w:rFonts w:cs="Calibri Light"/>
                <w:noProof/>
                <w:lang w:val="sq-AL"/>
              </w:rPr>
              <w:t>2. Vlerësimi i Efektivitetit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_Toc497820345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9</w:t>
            </w:r>
            <w:r w:rsidR="00A024C8" w:rsidRPr="00082FA3">
              <w:rPr>
                <w:noProof/>
                <w:webHidden/>
                <w:lang w:val="sq-AL"/>
              </w:rPr>
              <w:fldChar w:fldCharType="end"/>
            </w:r>
          </w:hyperlink>
        </w:p>
        <w:p w14:paraId="76985AD8" w14:textId="1AC2B2CE"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46" w:history="1">
            <w:r w:rsidR="00A024C8" w:rsidRPr="00082FA3">
              <w:rPr>
                <w:rStyle w:val="Hyperlink"/>
                <w:rFonts w:cs="Calibri Light"/>
                <w:noProof/>
                <w:lang w:val="sq-AL"/>
              </w:rPr>
              <w:t>2.1. Zbatimi i Objektivave dhe Veprimeve në Strategjinë dhe Planin e Veprimit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_Toc497820346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9</w:t>
            </w:r>
            <w:r w:rsidR="00A024C8" w:rsidRPr="00082FA3">
              <w:rPr>
                <w:noProof/>
                <w:webHidden/>
                <w:lang w:val="sq-AL"/>
              </w:rPr>
              <w:fldChar w:fldCharType="end"/>
            </w:r>
          </w:hyperlink>
        </w:p>
        <w:p w14:paraId="4DE2067B" w14:textId="04335FF3"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47" w:history="1">
            <w:r w:rsidR="00A024C8" w:rsidRPr="00082FA3">
              <w:rPr>
                <w:rStyle w:val="Hyperlink"/>
                <w:rFonts w:cs="Calibri Light"/>
                <w:noProof/>
                <w:lang w:val="sq-AL"/>
              </w:rPr>
              <w:t>2.2. Rezultatet e Strategjisë dhe Planit të Veprimit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_Toc497820347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9</w:t>
            </w:r>
            <w:r w:rsidR="00A024C8" w:rsidRPr="00082FA3">
              <w:rPr>
                <w:noProof/>
                <w:webHidden/>
                <w:lang w:val="sq-AL"/>
              </w:rPr>
              <w:fldChar w:fldCharType="end"/>
            </w:r>
          </w:hyperlink>
        </w:p>
        <w:p w14:paraId="731F79D1" w14:textId="630C83A9"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48" w:history="1">
            <w:r w:rsidR="00A024C8" w:rsidRPr="00082FA3">
              <w:rPr>
                <w:rStyle w:val="Hyperlink"/>
                <w:rFonts w:cs="Calibri Light"/>
                <w:noProof/>
                <w:lang w:val="sq-AL"/>
              </w:rPr>
              <w:t>2.3. Rezultatet dhe Ndikimi i Strategjisë</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_Toc497820348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21</w:t>
            </w:r>
            <w:r w:rsidR="00A024C8" w:rsidRPr="00082FA3">
              <w:rPr>
                <w:noProof/>
                <w:webHidden/>
                <w:lang w:val="sq-AL"/>
              </w:rPr>
              <w:fldChar w:fldCharType="end"/>
            </w:r>
          </w:hyperlink>
        </w:p>
        <w:p w14:paraId="19913EAA" w14:textId="62D57054" w:rsidR="00A024C8" w:rsidRPr="00082FA3" w:rsidRDefault="00361217">
          <w:pPr>
            <w:pStyle w:val="TOC1"/>
            <w:tabs>
              <w:tab w:val="right" w:leader="dot" w:pos="9062"/>
            </w:tabs>
            <w:rPr>
              <w:rFonts w:asciiTheme="minorHAnsi" w:eastAsiaTheme="minorEastAsia" w:hAnsiTheme="minorHAnsi"/>
              <w:noProof/>
              <w:sz w:val="22"/>
              <w:lang w:val="sq-AL"/>
            </w:rPr>
          </w:pPr>
          <w:hyperlink w:anchor="_Toc497820349" w:history="1">
            <w:r w:rsidR="00A024C8" w:rsidRPr="00082FA3">
              <w:rPr>
                <w:rStyle w:val="Hyperlink"/>
                <w:rFonts w:cs="Calibri Light"/>
                <w:noProof/>
                <w:lang w:val="sq-AL"/>
              </w:rPr>
              <w:t>3. Vlerësimi i Efikasitetit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_Toc497820349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22</w:t>
            </w:r>
            <w:r w:rsidR="00A024C8" w:rsidRPr="00082FA3">
              <w:rPr>
                <w:noProof/>
                <w:webHidden/>
                <w:lang w:val="sq-AL"/>
              </w:rPr>
              <w:fldChar w:fldCharType="end"/>
            </w:r>
          </w:hyperlink>
        </w:p>
        <w:p w14:paraId="741DBD6C" w14:textId="77C70E85"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50" w:history="1">
            <w:r w:rsidR="00A024C8" w:rsidRPr="00082FA3">
              <w:rPr>
                <w:rStyle w:val="Hyperlink"/>
                <w:rFonts w:cs="Calibri Light"/>
                <w:noProof/>
                <w:lang w:val="sq-AL"/>
              </w:rPr>
              <w:t>3.1 Mjaftueshmëria e burimeve për arritjen e objektivave të Strategjisë dhe Planit të Veprimit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_Toc497820350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22</w:t>
            </w:r>
            <w:r w:rsidR="00A024C8" w:rsidRPr="00082FA3">
              <w:rPr>
                <w:noProof/>
                <w:webHidden/>
                <w:lang w:val="sq-AL"/>
              </w:rPr>
              <w:fldChar w:fldCharType="end"/>
            </w:r>
          </w:hyperlink>
        </w:p>
        <w:p w14:paraId="33F8C4E2" w14:textId="4B13FF2F"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51" w:history="1">
            <w:r w:rsidR="00A024C8" w:rsidRPr="00082FA3">
              <w:rPr>
                <w:rStyle w:val="Hyperlink"/>
                <w:rFonts w:cs="Calibri Light"/>
                <w:noProof/>
                <w:lang w:val="sq-AL"/>
              </w:rPr>
              <w:t>3.2 Nevoja për resurse shtesë dhe burime të mundshme të financimit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_Toc497820351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23</w:t>
            </w:r>
            <w:r w:rsidR="00A024C8" w:rsidRPr="00082FA3">
              <w:rPr>
                <w:noProof/>
                <w:webHidden/>
                <w:lang w:val="sq-AL"/>
              </w:rPr>
              <w:fldChar w:fldCharType="end"/>
            </w:r>
          </w:hyperlink>
        </w:p>
        <w:p w14:paraId="69A5D443" w14:textId="5E90B2A6" w:rsidR="00A024C8" w:rsidRPr="00082FA3" w:rsidRDefault="00361217">
          <w:pPr>
            <w:pStyle w:val="TOC1"/>
            <w:tabs>
              <w:tab w:val="right" w:leader="dot" w:pos="9062"/>
            </w:tabs>
            <w:rPr>
              <w:rFonts w:asciiTheme="minorHAnsi" w:eastAsiaTheme="minorEastAsia" w:hAnsiTheme="minorHAnsi"/>
              <w:noProof/>
              <w:sz w:val="22"/>
              <w:lang w:val="sq-AL"/>
            </w:rPr>
          </w:pPr>
          <w:hyperlink w:anchor="_Toc497820352" w:history="1">
            <w:r w:rsidR="00A024C8" w:rsidRPr="00082FA3">
              <w:rPr>
                <w:rStyle w:val="Hyperlink"/>
                <w:rFonts w:cs="Calibri Light"/>
                <w:noProof/>
                <w:lang w:val="sq-AL"/>
              </w:rPr>
              <w:t>4. Vlerësimi i Relevances</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_Toc497820352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24</w:t>
            </w:r>
            <w:r w:rsidR="00A024C8" w:rsidRPr="00082FA3">
              <w:rPr>
                <w:noProof/>
                <w:webHidden/>
                <w:lang w:val="sq-AL"/>
              </w:rPr>
              <w:fldChar w:fldCharType="end"/>
            </w:r>
          </w:hyperlink>
        </w:p>
        <w:p w14:paraId="19CCF718" w14:textId="757F2D8C"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53" w:history="1">
            <w:r w:rsidR="00A024C8" w:rsidRPr="00082FA3">
              <w:rPr>
                <w:rStyle w:val="Hyperlink"/>
                <w:rFonts w:cs="Calibri Light"/>
                <w:noProof/>
                <w:lang w:val="sq-AL"/>
              </w:rPr>
              <w:t>4.1. Relevanca e Strategjisë në pikëpamje të Nevojave Aktuale</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_Toc497820353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24</w:t>
            </w:r>
            <w:r w:rsidR="00A024C8" w:rsidRPr="00082FA3">
              <w:rPr>
                <w:noProof/>
                <w:webHidden/>
                <w:lang w:val="sq-AL"/>
              </w:rPr>
              <w:fldChar w:fldCharType="end"/>
            </w:r>
          </w:hyperlink>
        </w:p>
        <w:p w14:paraId="673004A5" w14:textId="36922008"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54" w:history="1">
            <w:r w:rsidR="00A024C8" w:rsidRPr="00082FA3">
              <w:rPr>
                <w:rStyle w:val="Hyperlink"/>
                <w:rFonts w:cs="Calibri Light"/>
                <w:noProof/>
                <w:lang w:val="sq-AL"/>
              </w:rPr>
              <w:t>4.2. Relevanca e Strategjisë në pikëpamje me kërkesat për hyrje në BE</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_Toc497820354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25</w:t>
            </w:r>
            <w:r w:rsidR="00A024C8" w:rsidRPr="00082FA3">
              <w:rPr>
                <w:noProof/>
                <w:webHidden/>
                <w:lang w:val="sq-AL"/>
              </w:rPr>
              <w:fldChar w:fldCharType="end"/>
            </w:r>
          </w:hyperlink>
        </w:p>
        <w:p w14:paraId="382F1F3C" w14:textId="1C5070A0" w:rsidR="00A024C8" w:rsidRPr="00082FA3" w:rsidRDefault="00361217">
          <w:pPr>
            <w:pStyle w:val="TOC1"/>
            <w:tabs>
              <w:tab w:val="right" w:leader="dot" w:pos="9062"/>
            </w:tabs>
            <w:rPr>
              <w:rFonts w:asciiTheme="minorHAnsi" w:eastAsiaTheme="minorEastAsia" w:hAnsiTheme="minorHAnsi"/>
              <w:noProof/>
              <w:sz w:val="22"/>
              <w:lang w:val="sq-AL"/>
            </w:rPr>
          </w:pPr>
          <w:hyperlink w:anchor="_Toc497820355" w:history="1">
            <w:r w:rsidR="00A024C8" w:rsidRPr="00082FA3">
              <w:rPr>
                <w:rStyle w:val="Hyperlink"/>
                <w:rFonts w:cs="Calibri Light"/>
                <w:noProof/>
                <w:lang w:val="sq-AL"/>
              </w:rPr>
              <w:t>5. Vlerësimi i Koherencës</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_Toc497820355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26</w:t>
            </w:r>
            <w:r w:rsidR="00A024C8" w:rsidRPr="00082FA3">
              <w:rPr>
                <w:noProof/>
                <w:webHidden/>
                <w:lang w:val="sq-AL"/>
              </w:rPr>
              <w:fldChar w:fldCharType="end"/>
            </w:r>
          </w:hyperlink>
        </w:p>
        <w:p w14:paraId="02CE0CDA" w14:textId="1A07AB93"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56" w:history="1">
            <w:r w:rsidR="00A024C8" w:rsidRPr="00082FA3">
              <w:rPr>
                <w:rStyle w:val="Hyperlink"/>
                <w:rFonts w:cs="Calibri Light"/>
                <w:noProof/>
                <w:lang w:val="sq-AL"/>
              </w:rPr>
              <w:t>5.1 Koherenca me strategjitë dhe politikat e tjera qeveritare</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_Toc497820356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26</w:t>
            </w:r>
            <w:r w:rsidR="00A024C8" w:rsidRPr="00082FA3">
              <w:rPr>
                <w:noProof/>
                <w:webHidden/>
                <w:lang w:val="sq-AL"/>
              </w:rPr>
              <w:fldChar w:fldCharType="end"/>
            </w:r>
          </w:hyperlink>
        </w:p>
        <w:p w14:paraId="35CFC8AF" w14:textId="4BF7468F" w:rsidR="00A024C8" w:rsidRPr="00082FA3" w:rsidRDefault="00361217">
          <w:pPr>
            <w:pStyle w:val="TOC2"/>
            <w:tabs>
              <w:tab w:val="right" w:leader="dot" w:pos="9062"/>
            </w:tabs>
            <w:rPr>
              <w:rFonts w:asciiTheme="minorHAnsi" w:eastAsiaTheme="minorEastAsia" w:hAnsiTheme="minorHAnsi"/>
              <w:noProof/>
              <w:sz w:val="22"/>
              <w:lang w:val="sq-AL"/>
            </w:rPr>
          </w:pPr>
          <w:hyperlink w:anchor="_Toc497820357" w:history="1">
            <w:r w:rsidR="00A024C8" w:rsidRPr="00082FA3">
              <w:rPr>
                <w:rStyle w:val="Hyperlink"/>
                <w:rFonts w:cs="Calibri Light"/>
                <w:noProof/>
                <w:lang w:val="sq-AL"/>
              </w:rPr>
              <w:t>5.2 Koherenca me Zhvillimet në Kontekstin Rajonal / Ndërkombëtar</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_Toc497820357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27</w:t>
            </w:r>
            <w:r w:rsidR="00A024C8" w:rsidRPr="00082FA3">
              <w:rPr>
                <w:noProof/>
                <w:webHidden/>
                <w:lang w:val="sq-AL"/>
              </w:rPr>
              <w:fldChar w:fldCharType="end"/>
            </w:r>
          </w:hyperlink>
        </w:p>
        <w:p w14:paraId="7F52B1F9" w14:textId="79958838" w:rsidR="00A024C8" w:rsidRPr="00082FA3" w:rsidRDefault="00361217">
          <w:pPr>
            <w:pStyle w:val="TOC1"/>
            <w:tabs>
              <w:tab w:val="right" w:leader="dot" w:pos="9062"/>
            </w:tabs>
            <w:rPr>
              <w:rFonts w:asciiTheme="minorHAnsi" w:eastAsiaTheme="minorEastAsia" w:hAnsiTheme="minorHAnsi"/>
              <w:noProof/>
              <w:sz w:val="22"/>
              <w:lang w:val="sq-AL"/>
            </w:rPr>
          </w:pPr>
          <w:hyperlink w:anchor="_Toc497820358" w:history="1">
            <w:r w:rsidR="00A024C8" w:rsidRPr="00082FA3">
              <w:rPr>
                <w:rStyle w:val="Hyperlink"/>
                <w:rFonts w:cs="Calibri Light"/>
                <w:noProof/>
                <w:lang w:val="sq-AL"/>
              </w:rPr>
              <w:t>6. Përmbledhje e Gjetjeve dhe Rekomandimet</w:t>
            </w:r>
            <w:r w:rsidR="00A024C8" w:rsidRPr="00082FA3">
              <w:rPr>
                <w:noProof/>
                <w:webHidden/>
                <w:lang w:val="sq-AL"/>
              </w:rPr>
              <w:tab/>
            </w:r>
            <w:r w:rsidR="00A024C8" w:rsidRPr="00082FA3">
              <w:rPr>
                <w:noProof/>
                <w:webHidden/>
                <w:lang w:val="sq-AL"/>
              </w:rPr>
              <w:fldChar w:fldCharType="begin"/>
            </w:r>
            <w:r w:rsidR="00A024C8" w:rsidRPr="00082FA3">
              <w:rPr>
                <w:noProof/>
                <w:webHidden/>
                <w:lang w:val="sq-AL"/>
              </w:rPr>
              <w:instrText xml:space="preserve"> PAGEREF _Toc497820358 \h </w:instrText>
            </w:r>
            <w:r w:rsidR="00A024C8" w:rsidRPr="00082FA3">
              <w:rPr>
                <w:noProof/>
                <w:webHidden/>
                <w:lang w:val="sq-AL"/>
              </w:rPr>
            </w:r>
            <w:r w:rsidR="00A024C8" w:rsidRPr="00082FA3">
              <w:rPr>
                <w:noProof/>
                <w:webHidden/>
                <w:lang w:val="sq-AL"/>
              </w:rPr>
              <w:fldChar w:fldCharType="separate"/>
            </w:r>
            <w:r w:rsidR="00A55683" w:rsidRPr="00082FA3">
              <w:rPr>
                <w:noProof/>
                <w:webHidden/>
                <w:lang w:val="sq-AL"/>
              </w:rPr>
              <w:t>28</w:t>
            </w:r>
            <w:r w:rsidR="00A024C8" w:rsidRPr="00082FA3">
              <w:rPr>
                <w:noProof/>
                <w:webHidden/>
                <w:lang w:val="sq-AL"/>
              </w:rPr>
              <w:fldChar w:fldCharType="end"/>
            </w:r>
          </w:hyperlink>
        </w:p>
        <w:p w14:paraId="59BE06FE" w14:textId="5ED8F641" w:rsidR="00F82DD5" w:rsidRPr="00082FA3" w:rsidRDefault="00F82DD5" w:rsidP="00F82DD5">
          <w:pPr>
            <w:pStyle w:val="Title"/>
            <w:rPr>
              <w:rFonts w:cs="Calibri Light"/>
              <w:lang w:val="sq-AL"/>
            </w:rPr>
          </w:pPr>
          <w:r w:rsidRPr="00082FA3">
            <w:rPr>
              <w:rFonts w:cs="Calibri Light"/>
              <w:lang w:val="sq-AL"/>
            </w:rPr>
            <w:fldChar w:fldCharType="end"/>
          </w:r>
        </w:p>
      </w:sdtContent>
    </w:sdt>
    <w:p w14:paraId="6A1F1497" w14:textId="77777777" w:rsidR="00F82DD5" w:rsidRPr="00082FA3" w:rsidRDefault="00F82DD5" w:rsidP="00F82DD5">
      <w:pPr>
        <w:pStyle w:val="Title"/>
        <w:rPr>
          <w:rFonts w:cs="Calibri Light"/>
          <w:lang w:val="sq-AL"/>
        </w:rPr>
      </w:pPr>
      <w:r w:rsidRPr="00082FA3">
        <w:rPr>
          <w:rFonts w:cs="Calibri Light"/>
          <w:lang w:val="sq-AL"/>
        </w:rPr>
        <w:br w:type="page"/>
      </w:r>
    </w:p>
    <w:p w14:paraId="278EAE66" w14:textId="56EDE14B" w:rsidR="003450C4" w:rsidRPr="00082FA3" w:rsidRDefault="00B20008" w:rsidP="00C60D1F">
      <w:pPr>
        <w:pStyle w:val="Heading1"/>
        <w:rPr>
          <w:rFonts w:cs="Calibri Light"/>
          <w:lang w:val="sq-AL"/>
        </w:rPr>
      </w:pPr>
      <w:bookmarkStart w:id="4" w:name="_Toc497820338"/>
      <w:r w:rsidRPr="00082FA3">
        <w:rPr>
          <w:rFonts w:cs="Calibri Light"/>
          <w:lang w:val="sq-AL"/>
        </w:rPr>
        <w:lastRenderedPageBreak/>
        <w:t>Përmbledhje Ekzekutive</w:t>
      </w:r>
      <w:bookmarkEnd w:id="4"/>
      <w:r w:rsidR="003450C4" w:rsidRPr="00082FA3">
        <w:rPr>
          <w:rFonts w:cs="Calibri Light"/>
          <w:lang w:val="sq-AL"/>
        </w:rPr>
        <w:t xml:space="preserve"> </w:t>
      </w:r>
    </w:p>
    <w:p w14:paraId="2451A0BC" w14:textId="6AAE26C2" w:rsidR="00B20008" w:rsidRPr="00082FA3" w:rsidRDefault="00B20008" w:rsidP="0017075B">
      <w:pPr>
        <w:rPr>
          <w:lang w:val="sq-AL"/>
        </w:rPr>
      </w:pPr>
      <w:r w:rsidRPr="00082FA3">
        <w:rPr>
          <w:lang w:val="sq-AL"/>
        </w:rPr>
        <w:t xml:space="preserve">Me </w:t>
      </w:r>
      <w:r w:rsidR="00ED4125" w:rsidRPr="00082FA3">
        <w:rPr>
          <w:lang w:val="sq-AL"/>
        </w:rPr>
        <w:t>datën</w:t>
      </w:r>
      <w:r w:rsidRPr="00082FA3">
        <w:rPr>
          <w:lang w:val="sq-AL"/>
        </w:rPr>
        <w:t xml:space="preserve"> 5 Korrik</w:t>
      </w:r>
      <w:r w:rsidR="00EA5852" w:rsidRPr="00082FA3">
        <w:rPr>
          <w:lang w:val="sq-AL"/>
        </w:rPr>
        <w:t xml:space="preserve"> 2013, </w:t>
      </w:r>
      <w:r w:rsidRPr="00082FA3">
        <w:rPr>
          <w:lang w:val="sq-AL"/>
        </w:rPr>
        <w:t xml:space="preserve">, Qeveria e Kosovës ka miratuar </w:t>
      </w:r>
      <w:r w:rsidRPr="00082FA3">
        <w:rPr>
          <w:rStyle w:val="Hyperlink"/>
          <w:lang w:val="sq-AL"/>
        </w:rPr>
        <w:t>Strategjinë e parë të Qeverisë për Bashkëpunim me Shoqërinë Civile</w:t>
      </w:r>
      <w:r w:rsidRPr="00082FA3">
        <w:rPr>
          <w:lang w:val="sq-AL"/>
        </w:rPr>
        <w:t xml:space="preserve"> (2013-2017), më poshtë referuar si</w:t>
      </w:r>
      <w:r w:rsidRPr="00082FA3">
        <w:rPr>
          <w:i/>
          <w:lang w:val="sq-AL"/>
        </w:rPr>
        <w:t xml:space="preserve"> "Strategjia", </w:t>
      </w:r>
      <w:r w:rsidRPr="00082FA3">
        <w:rPr>
          <w:lang w:val="sq-AL"/>
        </w:rPr>
        <w:t>në njohjen e rolit të shoqërisë civile në hartimin e politikave dhe qeverisjen e mirë. Strategjia synon të a</w:t>
      </w:r>
      <w:r w:rsidR="00F06D57" w:rsidRPr="00082FA3">
        <w:rPr>
          <w:lang w:val="sq-AL"/>
        </w:rPr>
        <w:t>frojë më afër</w:t>
      </w:r>
      <w:r w:rsidRPr="00082FA3">
        <w:rPr>
          <w:lang w:val="sq-AL"/>
        </w:rPr>
        <w:t xml:space="preserve"> qeverinë dhe organizatat e shoqërisë civile (OSHC-të) në çështjet që kanë të bëjnë me politikat publike dhe ofrimin e shërbimeve publike. Ekzistojnë katër objektiva për Strategjinë dhe ato përbëhen nga (i) sigurimi i një pjesëmarrjeje të fuqishme të shoqërisë civile në hartimin e politikave dhe legjislacionit, (ii) krijimin e një sistemi për kontraktimin e shërbimeve publike për OJQ-të, (iii) ngritjen e një sistemi financiar dhe përcaktimin e kritereve për mbështetjen e shoqërisë civile me fonde publike dhe (iv) promovimin e një qasjeje të integruar për zhvillimin e vullnetarizmit në vend.</w:t>
      </w:r>
    </w:p>
    <w:p w14:paraId="73CB5327" w14:textId="7002E2F0" w:rsidR="00D64DBA" w:rsidRPr="00082FA3" w:rsidRDefault="00D64DBA" w:rsidP="0017075B">
      <w:pPr>
        <w:rPr>
          <w:lang w:val="sq-AL"/>
        </w:rPr>
      </w:pPr>
    </w:p>
    <w:p w14:paraId="1D8D1159" w14:textId="77777777" w:rsidR="004546D7" w:rsidRDefault="004546D7" w:rsidP="00B20008">
      <w:pPr>
        <w:rPr>
          <w:rFonts w:cs="Calibri Light"/>
          <w:lang w:val="sq-AL"/>
        </w:rPr>
      </w:pPr>
      <w:r w:rsidRPr="004546D7">
        <w:rPr>
          <w:rStyle w:val="Hyperlink"/>
          <w:color w:val="auto"/>
          <w:u w:val="none"/>
          <w:lang w:val="sq-AL"/>
        </w:rPr>
        <w:t>Në bazë të</w:t>
      </w:r>
      <w:r>
        <w:rPr>
          <w:rStyle w:val="Hyperlink"/>
          <w:color w:val="auto"/>
          <w:u w:val="none"/>
          <w:lang w:val="sq-AL"/>
        </w:rPr>
        <w:t xml:space="preserve"> </w:t>
      </w:r>
      <w:r w:rsidR="00B20008" w:rsidRPr="00082FA3">
        <w:rPr>
          <w:rStyle w:val="Hyperlink"/>
          <w:lang w:val="sq-AL"/>
        </w:rPr>
        <w:t>Udhëzimi</w:t>
      </w:r>
      <w:r>
        <w:rPr>
          <w:rStyle w:val="Hyperlink"/>
          <w:lang w:val="sq-AL"/>
        </w:rPr>
        <w:t>t</w:t>
      </w:r>
      <w:r w:rsidR="00B20008" w:rsidRPr="00082FA3">
        <w:rPr>
          <w:rStyle w:val="Hyperlink"/>
          <w:lang w:val="sq-AL"/>
        </w:rPr>
        <w:t xml:space="preserve"> Administrativ Nr. 02/2012</w:t>
      </w:r>
      <w:r>
        <w:rPr>
          <w:rFonts w:cs="Calibri Light"/>
          <w:lang w:val="sq-AL"/>
        </w:rPr>
        <w:t xml:space="preserve">,  cili </w:t>
      </w:r>
      <w:r w:rsidR="00CE70ED" w:rsidRPr="00082FA3">
        <w:rPr>
          <w:rFonts w:cs="Calibri Light"/>
          <w:lang w:val="sq-AL"/>
        </w:rPr>
        <w:t xml:space="preserve">përcakton </w:t>
      </w:r>
      <w:r w:rsidR="00B20008" w:rsidRPr="00082FA3">
        <w:rPr>
          <w:rFonts w:cs="Calibri Light"/>
          <w:lang w:val="sq-AL"/>
        </w:rPr>
        <w:t xml:space="preserve">Procedurat, Kriteret dhe Metodologjinë për Përgatitjen dhe Miratimin e Dokumenteve Strategjike dhe Planeve për Zbatimin e tyre, </w:t>
      </w:r>
      <w:r w:rsidR="00CE70ED" w:rsidRPr="00082FA3">
        <w:rPr>
          <w:rFonts w:cs="Calibri Light"/>
          <w:lang w:val="sq-AL"/>
        </w:rPr>
        <w:t>si dhe kërkon që</w:t>
      </w:r>
      <w:r w:rsidR="00B20008" w:rsidRPr="00082FA3">
        <w:rPr>
          <w:rFonts w:cs="Calibri Light"/>
          <w:lang w:val="sq-AL"/>
        </w:rPr>
        <w:t xml:space="preserve"> të vlerësohet zbatimi i Strategjisë. Ky raport vlerëson shkallën e zbatimit të Strategjisë në aspektin e rezultateve dhe</w:t>
      </w:r>
      <w:r w:rsidR="00CE70ED" w:rsidRPr="00082FA3">
        <w:rPr>
          <w:rFonts w:cs="Calibri Light"/>
          <w:lang w:val="sq-AL"/>
        </w:rPr>
        <w:t xml:space="preserve"> sa të jetë e mundur edhe </w:t>
      </w:r>
      <w:r w:rsidR="00B20008" w:rsidRPr="00082FA3">
        <w:rPr>
          <w:rFonts w:cs="Calibri Light"/>
          <w:lang w:val="sq-AL"/>
        </w:rPr>
        <w:t>ndikimin e tij në politik</w:t>
      </w:r>
      <w:r w:rsidR="00CE70ED" w:rsidRPr="00082FA3">
        <w:rPr>
          <w:rFonts w:cs="Calibri Light"/>
          <w:lang w:val="sq-AL"/>
        </w:rPr>
        <w:t>a</w:t>
      </w:r>
      <w:r w:rsidR="00B20008" w:rsidRPr="00082FA3">
        <w:rPr>
          <w:rFonts w:cs="Calibri Light"/>
          <w:lang w:val="sq-AL"/>
        </w:rPr>
        <w:t xml:space="preserve"> dhe zhvillimin e shoqërisë civile.</w:t>
      </w:r>
      <w:r w:rsidR="00F06D57" w:rsidRPr="00082FA3">
        <w:rPr>
          <w:rFonts w:cs="Calibri Light"/>
          <w:lang w:val="sq-AL"/>
        </w:rPr>
        <w:t xml:space="preserve"> </w:t>
      </w:r>
    </w:p>
    <w:p w14:paraId="475A47EE" w14:textId="77777777" w:rsidR="004546D7" w:rsidRDefault="004546D7" w:rsidP="00B20008">
      <w:pPr>
        <w:rPr>
          <w:rFonts w:cs="Calibri Light"/>
          <w:lang w:val="sq-AL"/>
        </w:rPr>
      </w:pPr>
    </w:p>
    <w:p w14:paraId="451274A0" w14:textId="109BE2D9" w:rsidR="00B20008" w:rsidRPr="00082FA3" w:rsidRDefault="00B20008" w:rsidP="00B20008">
      <w:pPr>
        <w:rPr>
          <w:rFonts w:cs="Calibri Light"/>
          <w:lang w:val="sq-AL"/>
        </w:rPr>
      </w:pPr>
      <w:r w:rsidRPr="00082FA3">
        <w:rPr>
          <w:rFonts w:cs="Calibri Light"/>
          <w:lang w:val="sq-AL"/>
        </w:rPr>
        <w:t>A</w:t>
      </w:r>
      <w:r w:rsidR="00CE70ED" w:rsidRPr="00082FA3">
        <w:rPr>
          <w:rFonts w:cs="Calibri Light"/>
          <w:lang w:val="sq-AL"/>
        </w:rPr>
        <w:t>i</w:t>
      </w:r>
      <w:r w:rsidRPr="00082FA3">
        <w:rPr>
          <w:rFonts w:cs="Calibri Light"/>
          <w:lang w:val="sq-AL"/>
        </w:rPr>
        <w:t xml:space="preserve"> synon të përfaqësojë shkallën në të cilën janë arritur </w:t>
      </w:r>
      <w:r w:rsidRPr="00082FA3">
        <w:rPr>
          <w:rFonts w:cs="Calibri Light"/>
          <w:b/>
          <w:lang w:val="sq-AL"/>
        </w:rPr>
        <w:t>objektivat strategjike</w:t>
      </w:r>
      <w:r w:rsidRPr="00082FA3">
        <w:rPr>
          <w:rFonts w:cs="Calibri Light"/>
          <w:lang w:val="sq-AL"/>
        </w:rPr>
        <w:t xml:space="preserve"> të Strategjisë, duke theksuar fushat ku është bërë përparim dhe atyre ku progresi ka </w:t>
      </w:r>
      <w:r w:rsidR="00CE70ED" w:rsidRPr="00082FA3">
        <w:rPr>
          <w:rFonts w:cs="Calibri Light"/>
          <w:lang w:val="sq-AL"/>
        </w:rPr>
        <w:t>ngecur</w:t>
      </w:r>
      <w:r w:rsidRPr="00082FA3">
        <w:rPr>
          <w:rFonts w:cs="Calibri Light"/>
          <w:lang w:val="sq-AL"/>
        </w:rPr>
        <w:t xml:space="preserve">. Përveç kësaj, vlerësimi synon të sigurojë dëshmi dhe </w:t>
      </w:r>
      <w:r w:rsidR="00CE70ED" w:rsidRPr="00082FA3">
        <w:rPr>
          <w:rFonts w:cs="Calibri Light"/>
          <w:lang w:val="sq-AL"/>
        </w:rPr>
        <w:t xml:space="preserve">të nxjerr </w:t>
      </w:r>
      <w:r w:rsidRPr="00082FA3">
        <w:rPr>
          <w:rFonts w:cs="Calibri Light"/>
          <w:lang w:val="sq-AL"/>
        </w:rPr>
        <w:t xml:space="preserve">mësime për të mbështetur zhvillimin e Strategjisë së ardhshme për </w:t>
      </w:r>
      <w:r w:rsidR="00DD7F0A" w:rsidRPr="00082FA3">
        <w:rPr>
          <w:rFonts w:cs="Calibri Light"/>
          <w:lang w:val="sq-AL"/>
        </w:rPr>
        <w:t>periudhën</w:t>
      </w:r>
      <w:r w:rsidR="00CE70ED" w:rsidRPr="00082FA3">
        <w:rPr>
          <w:rFonts w:cs="Calibri Light"/>
          <w:lang w:val="sq-AL"/>
        </w:rPr>
        <w:t xml:space="preserve"> </w:t>
      </w:r>
      <w:r w:rsidRPr="00082FA3">
        <w:rPr>
          <w:rFonts w:cs="Calibri Light"/>
          <w:lang w:val="sq-AL"/>
        </w:rPr>
        <w:t>2018-2022. Vlerësimi adreson të gjitha aspektet e Strategjisë, kryesisht duke u fokusuar në nëntë (9) pyetje kërkimore që lidhen me kriteret e efektivitetit, efikasitetit, rëndësi</w:t>
      </w:r>
      <w:r w:rsidR="00CE70ED" w:rsidRPr="00082FA3">
        <w:rPr>
          <w:rFonts w:cs="Calibri Light"/>
          <w:lang w:val="sq-AL"/>
        </w:rPr>
        <w:t>n</w:t>
      </w:r>
      <w:r w:rsidRPr="00082FA3">
        <w:rPr>
          <w:rFonts w:cs="Calibri Light"/>
          <w:lang w:val="sq-AL"/>
        </w:rPr>
        <w:t>ë dhe koherencë</w:t>
      </w:r>
      <w:r w:rsidR="00CE70ED" w:rsidRPr="00082FA3">
        <w:rPr>
          <w:rFonts w:cs="Calibri Light"/>
          <w:lang w:val="sq-AL"/>
        </w:rPr>
        <w:t>n e</w:t>
      </w:r>
      <w:r w:rsidRPr="00082FA3">
        <w:rPr>
          <w:rFonts w:cs="Calibri Light"/>
          <w:lang w:val="sq-AL"/>
        </w:rPr>
        <w:t xml:space="preserve"> Strategjisë.</w:t>
      </w:r>
    </w:p>
    <w:p w14:paraId="57AEFD43" w14:textId="77777777" w:rsidR="00B20008" w:rsidRPr="00082FA3" w:rsidRDefault="00B20008" w:rsidP="00B20008">
      <w:pPr>
        <w:rPr>
          <w:rFonts w:cs="Calibri Light"/>
          <w:lang w:val="sq-AL"/>
        </w:rPr>
      </w:pPr>
    </w:p>
    <w:p w14:paraId="1A092A7B" w14:textId="16ACB240" w:rsidR="00EB3EFB" w:rsidRPr="00082FA3" w:rsidRDefault="00CE70ED" w:rsidP="00EB5C98">
      <w:pPr>
        <w:rPr>
          <w:rFonts w:cs="Calibri Light"/>
          <w:lang w:val="sq-AL"/>
        </w:rPr>
      </w:pPr>
      <w:r w:rsidRPr="00082FA3">
        <w:rPr>
          <w:rFonts w:cs="Calibri Light"/>
          <w:lang w:val="sq-AL"/>
        </w:rPr>
        <w:t>Qasja për mbledhjen e të dhënave mbështetet në perspektivën e qeverisë dhe palëve të interesit nga shoqëria civile (p.sh., Platforma CiviKos). Këshilli është përgjegjës për monitorimin, raportimin dhe vlerësimin e zbatimit të Strategjisë. Këshilli përbëhet nga 29 anëtarë që përfaqësojnë qeverinë dhe shoqërinë civile dhe kryesohet nga Zyra e Kryeministrit (ZKM), Zyra e Qeverisjes së Mirë (</w:t>
      </w:r>
      <w:r w:rsidR="00E14FCD">
        <w:rPr>
          <w:rFonts w:cs="Calibri Light"/>
          <w:lang w:val="sq-AL"/>
        </w:rPr>
        <w:t>ZQM</w:t>
      </w:r>
      <w:r w:rsidRPr="00082FA3">
        <w:rPr>
          <w:rFonts w:cs="Calibri Light"/>
          <w:lang w:val="sq-AL"/>
        </w:rPr>
        <w:t xml:space="preserve">) dhe Platforma CiviKos. ZQM është </w:t>
      </w:r>
      <w:r w:rsidR="005B1BEC" w:rsidRPr="00082FA3">
        <w:rPr>
          <w:rFonts w:cs="Calibri Light"/>
          <w:lang w:val="sq-AL"/>
        </w:rPr>
        <w:t>departamenti</w:t>
      </w:r>
      <w:r w:rsidRPr="00082FA3">
        <w:rPr>
          <w:rFonts w:cs="Calibri Light"/>
          <w:lang w:val="sq-AL"/>
        </w:rPr>
        <w:t xml:space="preserve"> përgjegj</w:t>
      </w:r>
      <w:r w:rsidR="005B1BEC" w:rsidRPr="00082FA3">
        <w:rPr>
          <w:rFonts w:cs="Calibri Light"/>
          <w:lang w:val="sq-AL"/>
        </w:rPr>
        <w:t>ës i</w:t>
      </w:r>
      <w:r w:rsidRPr="00082FA3">
        <w:rPr>
          <w:rFonts w:cs="Calibri Light"/>
          <w:lang w:val="sq-AL"/>
        </w:rPr>
        <w:t xml:space="preserve"> qeveri</w:t>
      </w:r>
      <w:r w:rsidR="005B1BEC" w:rsidRPr="00082FA3">
        <w:rPr>
          <w:rFonts w:cs="Calibri Light"/>
          <w:lang w:val="sq-AL"/>
        </w:rPr>
        <w:t>së</w:t>
      </w:r>
      <w:r w:rsidRPr="00082FA3">
        <w:rPr>
          <w:rFonts w:cs="Calibri Light"/>
          <w:lang w:val="sq-AL"/>
        </w:rPr>
        <w:t xml:space="preserve"> për koordinimin e politikave dhe bashkëpunimin me shoqërinë civile. Ai përfaqëson Sekretariatin e Këshillit dhe është përgjegjës për sigurimin e mbështetjes administrative dhe teknike në monitorimin dhe raportimin e zbatimit të Strategjisë. Platforma CiviKos </w:t>
      </w:r>
      <w:r w:rsidR="005B1BEC" w:rsidRPr="00082FA3">
        <w:rPr>
          <w:rFonts w:cs="Calibri Light"/>
          <w:lang w:val="sq-AL"/>
        </w:rPr>
        <w:t>e</w:t>
      </w:r>
      <w:r w:rsidRPr="00082FA3">
        <w:rPr>
          <w:rFonts w:cs="Calibri Light"/>
          <w:lang w:val="sq-AL"/>
        </w:rPr>
        <w:t xml:space="preserve"> ndihmon Sekretariatin në koordinimin e aktiviteteve të përbashkëta dhe monitorimin e zbatimit të Strategjisë.</w:t>
      </w:r>
    </w:p>
    <w:p w14:paraId="670A9748" w14:textId="77777777" w:rsidR="00CE70ED" w:rsidRPr="00082FA3" w:rsidRDefault="00CE70ED" w:rsidP="00EB5C98">
      <w:pPr>
        <w:rPr>
          <w:rFonts w:cs="Calibri Light"/>
          <w:lang w:val="sq-AL"/>
        </w:rPr>
      </w:pPr>
    </w:p>
    <w:p w14:paraId="541C1279" w14:textId="6AD9F482" w:rsidR="00211F6A" w:rsidRPr="00082FA3" w:rsidRDefault="00E14FCD" w:rsidP="00BA17CD">
      <w:pPr>
        <w:rPr>
          <w:rFonts w:cs="Calibri Light"/>
          <w:lang w:val="sq-AL"/>
        </w:rPr>
      </w:pPr>
      <w:r>
        <w:rPr>
          <w:rFonts w:cs="Calibri Light"/>
          <w:lang w:val="sq-AL"/>
        </w:rPr>
        <w:t>Aftësia</w:t>
      </w:r>
      <w:r w:rsidR="005B1BEC" w:rsidRPr="00082FA3">
        <w:rPr>
          <w:rFonts w:cs="Calibri Light"/>
          <w:lang w:val="sq-AL"/>
        </w:rPr>
        <w:t xml:space="preserve"> e qeverisë për të zbatuar Strategjinë Qeveritare për Bashkëpunim me Shoqërinë Civile (2013-2017) nuk ka qenë aq e suksesshme. Fillimisht, zbatimi i Strategjisë ishte shumë i ngadalshëm. Në 2013-2014, </w:t>
      </w:r>
      <w:r w:rsidR="005B1BEC" w:rsidRPr="00E14FCD">
        <w:rPr>
          <w:rFonts w:cs="Calibri Light"/>
          <w:b/>
          <w:lang w:val="sq-AL"/>
        </w:rPr>
        <w:t>mungonte vullneti politik</w:t>
      </w:r>
      <w:r w:rsidR="005B1BEC" w:rsidRPr="00082FA3">
        <w:rPr>
          <w:rFonts w:cs="Calibri Light"/>
          <w:lang w:val="sq-AL"/>
        </w:rPr>
        <w:t xml:space="preserve"> dhe mirëkuptimi për rëndësinë e përfshirjes së shoqërisë civile në punën e qeverisë. Me kalimin e kohës, ajo sigurisht ndryshoi pasi roli i shoqërisë civile u bë më i njohur në tryezën e politikave. Së fundmi, në vitin 2015, janë konsoliduar mekanizmat për zbatimin e Strategjisë. Megjithatë, shumë aktivitete </w:t>
      </w:r>
      <w:r>
        <w:rPr>
          <w:rFonts w:cs="Calibri Light"/>
          <w:lang w:val="sq-AL"/>
        </w:rPr>
        <w:t xml:space="preserve">është </w:t>
      </w:r>
      <w:r w:rsidR="005B1BEC" w:rsidRPr="00082FA3">
        <w:rPr>
          <w:rFonts w:cs="Calibri Light"/>
          <w:lang w:val="sq-AL"/>
        </w:rPr>
        <w:t>d</w:t>
      </w:r>
      <w:r>
        <w:rPr>
          <w:rFonts w:cs="Calibri Light"/>
          <w:lang w:val="sq-AL"/>
        </w:rPr>
        <w:t xml:space="preserve">ashur </w:t>
      </w:r>
      <w:r w:rsidR="005B1BEC" w:rsidRPr="00082FA3">
        <w:rPr>
          <w:rFonts w:cs="Calibri Light"/>
          <w:lang w:val="sq-AL"/>
        </w:rPr>
        <w:t xml:space="preserve">të zhvendoseshin dhe të </w:t>
      </w:r>
      <w:r>
        <w:rPr>
          <w:rFonts w:cs="Calibri Light"/>
          <w:lang w:val="sq-AL"/>
        </w:rPr>
        <w:t>përshatatën</w:t>
      </w:r>
      <w:r w:rsidR="005B1BEC" w:rsidRPr="00082FA3">
        <w:rPr>
          <w:rFonts w:cs="Calibri Light"/>
          <w:lang w:val="sq-AL"/>
        </w:rPr>
        <w:t xml:space="preserve">, duke shkaktuar vonesa ekstreme në Strategji. Ndërkohë, Këshilli nuk ka ushtruar rol proaktiv në hartimin e politikave publike dhe zhvillimin frymëzues të shoqërisë civile. Shkalla në të cilën vonesat kanë ndikuar në zbatimin e Strategjisë shpjegohen më së miri nga </w:t>
      </w:r>
      <w:r w:rsidR="005B1BEC" w:rsidRPr="00082FA3">
        <w:rPr>
          <w:rFonts w:cs="Calibri Light"/>
          <w:i/>
          <w:lang w:val="sq-AL"/>
        </w:rPr>
        <w:t>Matrica e Monitorimit dhe Raportimit.</w:t>
      </w:r>
    </w:p>
    <w:p w14:paraId="6862B8F0" w14:textId="77777777" w:rsidR="005B1BEC" w:rsidRPr="00082FA3" w:rsidRDefault="005B1BEC" w:rsidP="00BA17CD">
      <w:pPr>
        <w:rPr>
          <w:rFonts w:cs="Calibri Light"/>
          <w:lang w:val="sq-AL"/>
        </w:rPr>
      </w:pPr>
    </w:p>
    <w:p w14:paraId="16A1DE81" w14:textId="3DBDF8BB" w:rsidR="005B1BEC" w:rsidRPr="00082FA3" w:rsidRDefault="005B1BEC" w:rsidP="0094707C">
      <w:pPr>
        <w:rPr>
          <w:rFonts w:cs="Calibri Light"/>
          <w:lang w:val="sq-AL"/>
        </w:rPr>
      </w:pPr>
      <w:r w:rsidRPr="00E14FCD">
        <w:rPr>
          <w:rFonts w:cs="Calibri Light"/>
          <w:i/>
          <w:lang w:val="sq-AL"/>
        </w:rPr>
        <w:t>Matrica e Monitorimit dhe Raportimit</w:t>
      </w:r>
      <w:r w:rsidRPr="00082FA3">
        <w:rPr>
          <w:rFonts w:cs="Calibri Light"/>
          <w:lang w:val="sq-AL"/>
        </w:rPr>
        <w:t xml:space="preserve"> është një grup treguesish të progresit që kanë mundësuar vlerësimin për të matur nivelin e zbatimit të masave dhe aktiviteteve kryesore të Planit të Strategjisë dhe Planit </w:t>
      </w:r>
      <w:r w:rsidR="00DD7F0A" w:rsidRPr="00082FA3">
        <w:rPr>
          <w:rFonts w:cs="Calibri Light"/>
          <w:lang w:val="sq-AL"/>
        </w:rPr>
        <w:t>veprues</w:t>
      </w:r>
      <w:r w:rsidRPr="00082FA3">
        <w:rPr>
          <w:rFonts w:cs="Calibri Light"/>
          <w:lang w:val="sq-AL"/>
        </w:rPr>
        <w:t>, dhe deri diku ndikimi</w:t>
      </w:r>
      <w:r w:rsidR="00E14FCD">
        <w:rPr>
          <w:rFonts w:cs="Calibri Light"/>
          <w:lang w:val="sq-AL"/>
        </w:rPr>
        <w:t>n</w:t>
      </w:r>
      <w:r w:rsidRPr="00082FA3">
        <w:rPr>
          <w:rFonts w:cs="Calibri Light"/>
          <w:lang w:val="sq-AL"/>
        </w:rPr>
        <w:t xml:space="preserve"> në zhvillimin e politikës dhe shoqërisë civile. - në </w:t>
      </w:r>
      <w:r w:rsidR="00E14FCD">
        <w:rPr>
          <w:rFonts w:cs="Calibri Light"/>
          <w:lang w:val="sq-AL"/>
        </w:rPr>
        <w:t>kuadër të</w:t>
      </w:r>
      <w:r w:rsidRPr="00082FA3">
        <w:rPr>
          <w:rFonts w:cs="Calibri Light"/>
          <w:lang w:val="sq-AL"/>
        </w:rPr>
        <w:t xml:space="preserve"> katër objektivave strategjike të dizajnuara për të forcuar rolin e shoqërisë civile në (i) politik</w:t>
      </w:r>
      <w:r w:rsidR="006F4E03" w:rsidRPr="00082FA3">
        <w:rPr>
          <w:rFonts w:cs="Calibri Light"/>
          <w:lang w:val="sq-AL"/>
        </w:rPr>
        <w:t>ëbërje</w:t>
      </w:r>
      <w:r w:rsidRPr="00082FA3">
        <w:rPr>
          <w:rFonts w:cs="Calibri Light"/>
          <w:lang w:val="sq-AL"/>
        </w:rPr>
        <w:t xml:space="preserve"> (ii) ofrimi</w:t>
      </w:r>
      <w:r w:rsidR="006F4E03" w:rsidRPr="00082FA3">
        <w:rPr>
          <w:rFonts w:cs="Calibri Light"/>
          <w:lang w:val="sq-AL"/>
        </w:rPr>
        <w:t>n e</w:t>
      </w:r>
      <w:r w:rsidRPr="00082FA3">
        <w:rPr>
          <w:rFonts w:cs="Calibri Light"/>
          <w:lang w:val="sq-AL"/>
        </w:rPr>
        <w:t xml:space="preserve"> shërbimeve, (iii) financimi</w:t>
      </w:r>
      <w:r w:rsidR="006F4E03" w:rsidRPr="00082FA3">
        <w:rPr>
          <w:rFonts w:cs="Calibri Light"/>
          <w:lang w:val="sq-AL"/>
        </w:rPr>
        <w:t>n</w:t>
      </w:r>
      <w:r w:rsidRPr="00082FA3">
        <w:rPr>
          <w:rFonts w:cs="Calibri Light"/>
          <w:lang w:val="sq-AL"/>
        </w:rPr>
        <w:t xml:space="preserve"> publik, dhe (iv) vullnetarizmi</w:t>
      </w:r>
      <w:r w:rsidR="006F4E03" w:rsidRPr="00082FA3">
        <w:rPr>
          <w:rFonts w:cs="Calibri Light"/>
          <w:lang w:val="sq-AL"/>
        </w:rPr>
        <w:t>n</w:t>
      </w:r>
      <w:r w:rsidRPr="00082FA3">
        <w:rPr>
          <w:rFonts w:cs="Calibri Light"/>
          <w:lang w:val="sq-AL"/>
        </w:rPr>
        <w:t xml:space="preserve">. Prandaj, zbatimi i përgjithshëm i aktiviteteve të Strategjisë / </w:t>
      </w:r>
      <w:r w:rsidR="006F4E03" w:rsidRPr="00082FA3">
        <w:rPr>
          <w:rFonts w:cs="Calibri Light"/>
          <w:lang w:val="sq-AL"/>
        </w:rPr>
        <w:t xml:space="preserve">Aktivitetet e Planit të </w:t>
      </w:r>
      <w:r w:rsidRPr="00082FA3">
        <w:rPr>
          <w:rFonts w:cs="Calibri Light"/>
          <w:lang w:val="sq-AL"/>
        </w:rPr>
        <w:t xml:space="preserve">Veprimit ka tejkaluar </w:t>
      </w:r>
      <w:r w:rsidRPr="00082FA3">
        <w:rPr>
          <w:rFonts w:cs="Calibri Light"/>
          <w:b/>
          <w:lang w:val="sq-AL"/>
        </w:rPr>
        <w:t>73 përqind</w:t>
      </w:r>
      <w:r w:rsidRPr="00082FA3">
        <w:rPr>
          <w:rFonts w:cs="Calibri Light"/>
          <w:lang w:val="sq-AL"/>
        </w:rPr>
        <w:t xml:space="preserve"> të nivelit të progresit.</w:t>
      </w:r>
    </w:p>
    <w:p w14:paraId="54C8630D" w14:textId="333212B5" w:rsidR="00BD7D23" w:rsidRPr="00082FA3" w:rsidRDefault="00BD7D23" w:rsidP="0094707C">
      <w:pPr>
        <w:rPr>
          <w:rFonts w:cs="Calibri Light"/>
          <w:lang w:val="sq-AL"/>
        </w:rPr>
      </w:pPr>
      <w:r w:rsidRPr="00082FA3">
        <w:rPr>
          <w:rFonts w:cs="Calibri Light"/>
          <w:lang w:val="sq-AL"/>
        </w:rPr>
        <w:t xml:space="preserve">Zbatimi i aktiviteteve brenda objektivit për përfshirjen e shoqërisë civile </w:t>
      </w:r>
      <w:r w:rsidRPr="00082FA3">
        <w:rPr>
          <w:rFonts w:cs="Calibri Light"/>
          <w:i/>
          <w:lang w:val="sq-AL"/>
        </w:rPr>
        <w:t>në hartimin e politikave</w:t>
      </w:r>
      <w:r w:rsidRPr="00082FA3">
        <w:rPr>
          <w:rFonts w:cs="Calibri Light"/>
          <w:lang w:val="sq-AL"/>
        </w:rPr>
        <w:t xml:space="preserve"> ka arritur në </w:t>
      </w:r>
      <w:r w:rsidRPr="00082FA3">
        <w:rPr>
          <w:rFonts w:cs="Calibri Light"/>
          <w:b/>
          <w:lang w:val="sq-AL"/>
        </w:rPr>
        <w:t>90 përqind</w:t>
      </w:r>
      <w:r w:rsidRPr="00082FA3">
        <w:rPr>
          <w:rFonts w:cs="Calibri Light"/>
          <w:lang w:val="sq-AL"/>
        </w:rPr>
        <w:t xml:space="preserve">. Zbatimi i Strategjisë për </w:t>
      </w:r>
      <w:r w:rsidRPr="00082FA3">
        <w:rPr>
          <w:rFonts w:cs="Calibri Light"/>
          <w:i/>
          <w:lang w:val="sq-AL"/>
        </w:rPr>
        <w:t>krijimin e një sistemi të kontraktimit të shërbimeve publike</w:t>
      </w:r>
      <w:r w:rsidRPr="00082FA3">
        <w:rPr>
          <w:rFonts w:cs="Calibri Light"/>
          <w:lang w:val="sq-AL"/>
        </w:rPr>
        <w:t xml:space="preserve"> </w:t>
      </w:r>
      <w:r w:rsidRPr="00082FA3">
        <w:rPr>
          <w:rFonts w:cs="Calibri Light"/>
          <w:i/>
          <w:lang w:val="sq-AL"/>
        </w:rPr>
        <w:t>për shoqërinë civile</w:t>
      </w:r>
      <w:r w:rsidRPr="00082FA3">
        <w:rPr>
          <w:rFonts w:cs="Calibri Light"/>
          <w:lang w:val="sq-AL"/>
        </w:rPr>
        <w:t xml:space="preserve"> ka arritur vetëm </w:t>
      </w:r>
      <w:r w:rsidRPr="00082FA3">
        <w:rPr>
          <w:rFonts w:cs="Calibri Light"/>
          <w:b/>
          <w:lang w:val="sq-AL"/>
        </w:rPr>
        <w:t>50 përqind</w:t>
      </w:r>
      <w:r w:rsidRPr="00082FA3">
        <w:rPr>
          <w:rFonts w:cs="Calibri Light"/>
          <w:lang w:val="sq-AL"/>
        </w:rPr>
        <w:t xml:space="preserve">. Nivelet e raportuara të zbatimit të aktiviteteve janë paksa më </w:t>
      </w:r>
      <w:r w:rsidRPr="00082FA3">
        <w:rPr>
          <w:rFonts w:cs="Calibri Light"/>
          <w:lang w:val="sq-AL"/>
        </w:rPr>
        <w:lastRenderedPageBreak/>
        <w:t xml:space="preserve">të larta për objektivat apo fushat prioritare për </w:t>
      </w:r>
      <w:r w:rsidRPr="00082FA3">
        <w:rPr>
          <w:rFonts w:cs="Calibri Light"/>
          <w:i/>
          <w:lang w:val="sq-AL"/>
        </w:rPr>
        <w:t>krijimin e një sistemi të financimit publik të shoqërisë civile</w:t>
      </w:r>
      <w:r w:rsidRPr="00082FA3">
        <w:rPr>
          <w:rFonts w:cs="Calibri Light"/>
          <w:lang w:val="sq-AL"/>
        </w:rPr>
        <w:t xml:space="preserve"> </w:t>
      </w:r>
      <w:r w:rsidRPr="00082FA3">
        <w:rPr>
          <w:rFonts w:cs="Calibri Light"/>
          <w:b/>
          <w:lang w:val="sq-AL"/>
        </w:rPr>
        <w:t>(70 përqind)</w:t>
      </w:r>
      <w:r w:rsidRPr="00082FA3">
        <w:rPr>
          <w:rFonts w:cs="Calibri Light"/>
          <w:lang w:val="sq-AL"/>
        </w:rPr>
        <w:t xml:space="preserve"> </w:t>
      </w:r>
      <w:r w:rsidRPr="00082FA3">
        <w:rPr>
          <w:rFonts w:cs="Calibri Light"/>
          <w:i/>
          <w:lang w:val="sq-AL"/>
        </w:rPr>
        <w:t>dhe</w:t>
      </w:r>
      <w:r w:rsidR="00B3435C" w:rsidRPr="00082FA3">
        <w:rPr>
          <w:rFonts w:cs="Calibri Light"/>
          <w:i/>
          <w:lang w:val="sq-AL"/>
        </w:rPr>
        <w:t xml:space="preserve"> </w:t>
      </w:r>
      <w:r w:rsidRPr="00082FA3">
        <w:rPr>
          <w:rFonts w:cs="Calibri Light"/>
          <w:i/>
          <w:lang w:val="sq-AL"/>
        </w:rPr>
        <w:t>promovimi</w:t>
      </w:r>
      <w:r w:rsidR="00B3435C" w:rsidRPr="00082FA3">
        <w:rPr>
          <w:rFonts w:cs="Calibri Light"/>
          <w:i/>
          <w:lang w:val="sq-AL"/>
        </w:rPr>
        <w:t xml:space="preserve"> i</w:t>
      </w:r>
      <w:r w:rsidRPr="00082FA3">
        <w:rPr>
          <w:rFonts w:cs="Calibri Light"/>
          <w:i/>
          <w:lang w:val="sq-AL"/>
        </w:rPr>
        <w:t xml:space="preserve"> një qasje</w:t>
      </w:r>
      <w:r w:rsidR="00B3435C" w:rsidRPr="00082FA3">
        <w:rPr>
          <w:rFonts w:cs="Calibri Light"/>
          <w:i/>
          <w:lang w:val="sq-AL"/>
        </w:rPr>
        <w:t>je të integruar për vullnetarizëm</w:t>
      </w:r>
      <w:r w:rsidRPr="00082FA3">
        <w:rPr>
          <w:rFonts w:cs="Calibri Light"/>
          <w:lang w:val="sq-AL"/>
        </w:rPr>
        <w:t xml:space="preserve"> </w:t>
      </w:r>
      <w:r w:rsidRPr="00082FA3">
        <w:rPr>
          <w:rFonts w:cs="Calibri Light"/>
          <w:b/>
          <w:lang w:val="sq-AL"/>
        </w:rPr>
        <w:t>(83 përqind).</w:t>
      </w:r>
    </w:p>
    <w:p w14:paraId="0070E5E9" w14:textId="77777777" w:rsidR="00BD7D23" w:rsidRPr="00082FA3" w:rsidRDefault="00BD7D23" w:rsidP="0094707C">
      <w:pPr>
        <w:rPr>
          <w:rFonts w:cs="Calibri Light"/>
          <w:lang w:val="sq-AL"/>
        </w:rPr>
      </w:pPr>
    </w:p>
    <w:p w14:paraId="44E39EA4" w14:textId="25EB2620" w:rsidR="004F174F" w:rsidRPr="00082FA3" w:rsidRDefault="004F174F" w:rsidP="00BA17CD">
      <w:pPr>
        <w:rPr>
          <w:rFonts w:cs="Calibri Light"/>
          <w:lang w:val="sq-AL"/>
        </w:rPr>
      </w:pPr>
      <w:r w:rsidRPr="00082FA3">
        <w:rPr>
          <w:rFonts w:cs="Calibri Light"/>
          <w:lang w:val="sq-AL"/>
        </w:rPr>
        <w:t>Megjithatë, matjet e paraqitura në Matr</w:t>
      </w:r>
      <w:r w:rsidR="00DD7F0A" w:rsidRPr="00082FA3">
        <w:rPr>
          <w:rFonts w:cs="Calibri Light"/>
          <w:lang w:val="sq-AL"/>
        </w:rPr>
        <w:t>ic</w:t>
      </w:r>
      <w:r w:rsidRPr="00082FA3">
        <w:rPr>
          <w:rFonts w:cs="Calibri Light"/>
          <w:lang w:val="sq-AL"/>
        </w:rPr>
        <w:t xml:space="preserve">ën e monitorimit dhe raportimin janë kontestuar nga shumë përfaqësues të shoqërisë civile. Për vlerësimin e tyre, sistemi është i orientuar vetëm në aktivitete dhe jo në rezultate, dhe kështu dështon që të reflektoj ndikimin e vërtetë të strategjisë për forcimin e bashkëpunimit të qeverisë me shoqërinë civile. Ajo nuk ka krijuar masa të forta për zhvillimin e fletënotimit të performancës. Indikatorët matin vetëm deklarimet e performancës sasiore. Prandaj, përdorimi i </w:t>
      </w:r>
      <w:r w:rsidR="00954620" w:rsidRPr="00082FA3">
        <w:rPr>
          <w:rFonts w:cs="Calibri Light"/>
          <w:lang w:val="sq-AL"/>
        </w:rPr>
        <w:t>matricës</w:t>
      </w:r>
      <w:r w:rsidRPr="00082FA3">
        <w:rPr>
          <w:rFonts w:cs="Calibri Light"/>
          <w:lang w:val="sq-AL"/>
        </w:rPr>
        <w:t xml:space="preserve"> së monitorimit dhe raportimit nuk është një mjet i dobishëm dhe duhet të rishikohet për hartimin e Strategjisë 2018-2022. Për të siguruar një perspektivë alternative për arritjen e secilit objektiv strategjik, në ketë raport të vlerësimit është përdorur </w:t>
      </w:r>
      <w:r w:rsidR="00246A90" w:rsidRPr="00082FA3">
        <w:rPr>
          <w:rFonts w:cs="Calibri Light"/>
          <w:lang w:val="sq-AL"/>
        </w:rPr>
        <w:t xml:space="preserve">edhe </w:t>
      </w:r>
      <w:r w:rsidRPr="00082FA3">
        <w:rPr>
          <w:rFonts w:cs="Calibri Light"/>
          <w:lang w:val="sq-AL"/>
        </w:rPr>
        <w:t xml:space="preserve">një </w:t>
      </w:r>
      <w:r w:rsidR="00246A90" w:rsidRPr="00082FA3">
        <w:rPr>
          <w:rFonts w:cs="Calibri Light"/>
          <w:b/>
          <w:lang w:val="sq-AL"/>
        </w:rPr>
        <w:t xml:space="preserve">sistem i </w:t>
      </w:r>
      <w:r w:rsidRPr="00082FA3">
        <w:rPr>
          <w:rFonts w:cs="Calibri Light"/>
          <w:b/>
          <w:lang w:val="sq-AL"/>
        </w:rPr>
        <w:t>drita</w:t>
      </w:r>
      <w:r w:rsidR="00246A90" w:rsidRPr="00082FA3">
        <w:rPr>
          <w:rFonts w:cs="Calibri Light"/>
          <w:b/>
          <w:lang w:val="sq-AL"/>
        </w:rPr>
        <w:t xml:space="preserve">ve të </w:t>
      </w:r>
      <w:r w:rsidR="00E46B3B">
        <w:rPr>
          <w:rFonts w:cs="Calibri Light"/>
          <w:b/>
          <w:lang w:val="sq-AL"/>
        </w:rPr>
        <w:t>semaforit</w:t>
      </w:r>
      <w:r w:rsidR="00246A90" w:rsidRPr="00082FA3">
        <w:rPr>
          <w:rFonts w:cs="Calibri Light"/>
          <w:lang w:val="sq-AL"/>
        </w:rPr>
        <w:t xml:space="preserve"> p</w:t>
      </w:r>
      <w:r w:rsidRPr="00082FA3">
        <w:rPr>
          <w:rFonts w:cs="Calibri Light"/>
          <w:lang w:val="sq-AL"/>
        </w:rPr>
        <w:t>ë</w:t>
      </w:r>
      <w:r w:rsidR="00246A90" w:rsidRPr="00082FA3">
        <w:rPr>
          <w:rFonts w:cs="Calibri Light"/>
          <w:lang w:val="sq-AL"/>
        </w:rPr>
        <w:t>r</w:t>
      </w:r>
      <w:r w:rsidRPr="00082FA3">
        <w:rPr>
          <w:rFonts w:cs="Calibri Light"/>
          <w:lang w:val="sq-AL"/>
        </w:rPr>
        <w:t xml:space="preserve"> matje</w:t>
      </w:r>
      <w:r w:rsidR="00246A90" w:rsidRPr="00082FA3">
        <w:rPr>
          <w:rFonts w:cs="Calibri Light"/>
          <w:lang w:val="sq-AL"/>
        </w:rPr>
        <w:t>n e</w:t>
      </w:r>
      <w:r w:rsidRPr="00082FA3">
        <w:rPr>
          <w:rFonts w:cs="Calibri Light"/>
          <w:lang w:val="sq-AL"/>
        </w:rPr>
        <w:t xml:space="preserve"> performancës. Ajo shkon përtej </w:t>
      </w:r>
      <w:r w:rsidR="00246A90" w:rsidRPr="00082FA3">
        <w:rPr>
          <w:rFonts w:cs="Calibri Light"/>
          <w:lang w:val="sq-AL"/>
        </w:rPr>
        <w:t xml:space="preserve">përshkrimit të rezultateve </w:t>
      </w:r>
      <w:r w:rsidRPr="00082FA3">
        <w:rPr>
          <w:rFonts w:cs="Calibri Light"/>
          <w:lang w:val="sq-AL"/>
        </w:rPr>
        <w:t xml:space="preserve">në Matricën e Monitorimit </w:t>
      </w:r>
      <w:r w:rsidR="00246A90" w:rsidRPr="00082FA3">
        <w:rPr>
          <w:rFonts w:cs="Calibri Light"/>
          <w:lang w:val="sq-AL"/>
        </w:rPr>
        <w:t>me</w:t>
      </w:r>
      <w:r w:rsidRPr="00082FA3">
        <w:rPr>
          <w:rFonts w:cs="Calibri Light"/>
          <w:lang w:val="sq-AL"/>
        </w:rPr>
        <w:t xml:space="preserve"> një fokus më të madh në rezultatet dhe ndikimet. Prandaj, pak progres është arritur në nivelin e objektivave strategjike nga ajo që është raportuar në Matricën e Monitorimit edhe pse kjo nuk mund të renditet në përqindje.</w:t>
      </w:r>
    </w:p>
    <w:p w14:paraId="3538B38C" w14:textId="77777777" w:rsidR="004F174F" w:rsidRPr="00082FA3" w:rsidRDefault="004F174F" w:rsidP="00BA17CD">
      <w:pPr>
        <w:rPr>
          <w:rFonts w:cs="Calibri Light"/>
          <w:lang w:val="sq-AL"/>
        </w:rPr>
      </w:pPr>
    </w:p>
    <w:p w14:paraId="12F39F11" w14:textId="065D29F6" w:rsidR="00D06C90" w:rsidRPr="00082FA3" w:rsidRDefault="00913075" w:rsidP="00BA17CD">
      <w:pPr>
        <w:rPr>
          <w:rFonts w:cs="Calibri Light"/>
          <w:lang w:val="sq-AL"/>
        </w:rPr>
      </w:pPr>
      <w:r w:rsidRPr="00082FA3">
        <w:rPr>
          <w:rFonts w:cs="Calibri Light"/>
          <w:lang w:val="sq-AL"/>
        </w:rPr>
        <w:t>Përkundër mbështetjes së pamjaftueshme të Qeverisë për zbatimin e Strategjisë dhe në përgjithësi mungesës së zbatimit, Strategjia të paktën në letër është jashtëzakonisht e rëndësishme për nevojat e vendit dhe kërkesat për pranim në BE dhe koherente me politikat e tjera qeveritare. Strategjia përcakton strukturën e politikave dhe bashkëpunimin në lidhje me zhvillimin e politikave dhe ofrimin e shërbimeve publike. Në këto fusha prioritare, të katër objektivat strategjike përshtaten së bashku dhe duket se e përforcojnë njëra-</w:t>
      </w:r>
      <w:r w:rsidR="00954620" w:rsidRPr="00082FA3">
        <w:rPr>
          <w:rFonts w:cs="Calibri Light"/>
          <w:lang w:val="sq-AL"/>
        </w:rPr>
        <w:t>tjetrën</w:t>
      </w:r>
      <w:r w:rsidRPr="00082FA3">
        <w:rPr>
          <w:rFonts w:cs="Calibri Light"/>
          <w:lang w:val="sq-AL"/>
        </w:rPr>
        <w:t xml:space="preserve">. Zhvillimi i shoqërisë civile paraqitet në politikat kryesore duke përfshirë Programin e Qeverisë së Kosovës (2016-2021). Ky program e sheh shoqërinë civile si një agjent për hartimin e axhendës së politikave, si dhe për ofrimin e disa shërbimeve publike në emër të qeverisë dhe interesit publik. Ashtu </w:t>
      </w:r>
      <w:r w:rsidR="00954620" w:rsidRPr="00082FA3">
        <w:rPr>
          <w:rFonts w:cs="Calibri Light"/>
          <w:lang w:val="sq-AL"/>
        </w:rPr>
        <w:t>siç</w:t>
      </w:r>
      <w:r w:rsidRPr="00082FA3">
        <w:rPr>
          <w:rFonts w:cs="Calibri Light"/>
          <w:lang w:val="sq-AL"/>
        </w:rPr>
        <w:t xml:space="preserve"> zhvillohet shoqëria civile në lidhje me punën me qeverinë në fund të fundit do të varet nga Strategjia e re dhe veprimet e saj për të përmbushur qëllimet strategjike për 2018-2022.</w:t>
      </w:r>
    </w:p>
    <w:p w14:paraId="489DCDB8" w14:textId="77777777" w:rsidR="00913075" w:rsidRPr="00082FA3" w:rsidRDefault="00913075" w:rsidP="00BA17CD">
      <w:pPr>
        <w:rPr>
          <w:rFonts w:cs="Calibri Light"/>
          <w:lang w:val="sq-AL"/>
        </w:rPr>
      </w:pPr>
    </w:p>
    <w:p w14:paraId="456363E3" w14:textId="77777777" w:rsidR="006962C3" w:rsidRPr="00082FA3" w:rsidRDefault="006962C3">
      <w:pPr>
        <w:spacing w:after="200" w:line="276" w:lineRule="auto"/>
        <w:contextualSpacing w:val="0"/>
        <w:jc w:val="left"/>
        <w:rPr>
          <w:rFonts w:eastAsiaTheme="majorEastAsia" w:cs="Calibri Light"/>
          <w:color w:val="0079A4"/>
          <w:sz w:val="28"/>
          <w:szCs w:val="32"/>
          <w:lang w:val="sq-AL"/>
        </w:rPr>
      </w:pPr>
      <w:r w:rsidRPr="00082FA3">
        <w:rPr>
          <w:rFonts w:cs="Calibri Light"/>
          <w:lang w:val="sq-AL"/>
        </w:rPr>
        <w:br w:type="page"/>
      </w:r>
    </w:p>
    <w:p w14:paraId="6882CB52" w14:textId="5CA574EB" w:rsidR="003450C4" w:rsidRPr="00082FA3" w:rsidRDefault="00C60D1F" w:rsidP="00C60D1F">
      <w:pPr>
        <w:pStyle w:val="Heading1"/>
        <w:rPr>
          <w:rFonts w:cs="Calibri Light"/>
          <w:lang w:val="sq-AL"/>
        </w:rPr>
      </w:pPr>
      <w:bookmarkStart w:id="5" w:name="_Toc497820339"/>
      <w:r w:rsidRPr="00082FA3">
        <w:rPr>
          <w:rFonts w:cs="Calibri Light"/>
          <w:lang w:val="sq-AL"/>
        </w:rPr>
        <w:lastRenderedPageBreak/>
        <w:t xml:space="preserve">1. </w:t>
      </w:r>
      <w:r w:rsidR="00913075" w:rsidRPr="00082FA3">
        <w:rPr>
          <w:rFonts w:cs="Calibri Light"/>
          <w:lang w:val="sq-AL"/>
        </w:rPr>
        <w:t>Hyrje në studim</w:t>
      </w:r>
      <w:bookmarkEnd w:id="5"/>
    </w:p>
    <w:p w14:paraId="7D6B7D6F" w14:textId="7EC24E10" w:rsidR="00913075" w:rsidRPr="00082FA3" w:rsidRDefault="00913075" w:rsidP="00C60D1F">
      <w:pPr>
        <w:rPr>
          <w:rFonts w:cs="Calibri Light"/>
          <w:lang w:val="sq-AL"/>
        </w:rPr>
      </w:pPr>
      <w:r w:rsidRPr="00082FA3">
        <w:rPr>
          <w:rFonts w:cs="Calibri Light"/>
          <w:lang w:val="sq-AL"/>
        </w:rPr>
        <w:t>K</w:t>
      </w:r>
      <w:r w:rsidR="00A6414A" w:rsidRPr="00082FA3">
        <w:rPr>
          <w:rFonts w:cs="Calibri Light"/>
          <w:lang w:val="sq-AL"/>
        </w:rPr>
        <w:t>y seksion jep një</w:t>
      </w:r>
      <w:r w:rsidRPr="00082FA3">
        <w:rPr>
          <w:rFonts w:cs="Calibri Light"/>
          <w:lang w:val="sq-AL"/>
        </w:rPr>
        <w:t xml:space="preserve"> hyrje se si dhe kur është miratuar Strategjia dhe rëndësia e saj në kontekstin e pranimit në Bashkimin Evropi</w:t>
      </w:r>
      <w:r w:rsidR="00A6414A" w:rsidRPr="00082FA3">
        <w:rPr>
          <w:rFonts w:cs="Calibri Light"/>
          <w:lang w:val="sq-AL"/>
        </w:rPr>
        <w:t>an (BE) dhe kriteret politike. G</w:t>
      </w:r>
      <w:r w:rsidRPr="00082FA3">
        <w:rPr>
          <w:rFonts w:cs="Calibri Light"/>
          <w:lang w:val="sq-AL"/>
        </w:rPr>
        <w:t>jithashtu diskuton</w:t>
      </w:r>
      <w:r w:rsidR="00A6414A" w:rsidRPr="00082FA3">
        <w:rPr>
          <w:rFonts w:cs="Calibri Light"/>
          <w:lang w:val="sq-AL"/>
        </w:rPr>
        <w:t xml:space="preserve"> për</w:t>
      </w:r>
      <w:r w:rsidRPr="00082FA3">
        <w:rPr>
          <w:rFonts w:cs="Calibri Light"/>
          <w:lang w:val="sq-AL"/>
        </w:rPr>
        <w:t xml:space="preserve"> mekanizmat kryesor për zbatimin e Strategjisë, duke përfshirë rolin dhe përgjegjësit</w:t>
      </w:r>
      <w:r w:rsidR="00A6414A" w:rsidRPr="00082FA3">
        <w:rPr>
          <w:rFonts w:cs="Calibri Light"/>
          <w:lang w:val="sq-AL"/>
        </w:rPr>
        <w:t>ë e Këshillit dhe Sekretariatit si dhe partnerët e</w:t>
      </w:r>
      <w:r w:rsidRPr="00082FA3">
        <w:rPr>
          <w:rFonts w:cs="Calibri Light"/>
          <w:lang w:val="sq-AL"/>
        </w:rPr>
        <w:t xml:space="preserve"> tjerë të përfshirë. </w:t>
      </w:r>
      <w:r w:rsidR="00A6414A" w:rsidRPr="00082FA3">
        <w:rPr>
          <w:rFonts w:cs="Calibri Light"/>
          <w:lang w:val="sq-AL"/>
        </w:rPr>
        <w:t xml:space="preserve">Në </w:t>
      </w:r>
      <w:r w:rsidRPr="00082FA3">
        <w:rPr>
          <w:rFonts w:cs="Calibri Light"/>
          <w:lang w:val="sq-AL"/>
        </w:rPr>
        <w:t xml:space="preserve">fund, </w:t>
      </w:r>
      <w:r w:rsidR="00A6414A" w:rsidRPr="00082FA3">
        <w:rPr>
          <w:rFonts w:cs="Calibri Light"/>
          <w:lang w:val="sq-AL"/>
        </w:rPr>
        <w:t xml:space="preserve">parathënia </w:t>
      </w:r>
      <w:r w:rsidRPr="00082FA3">
        <w:rPr>
          <w:rFonts w:cs="Calibri Light"/>
          <w:lang w:val="sq-AL"/>
        </w:rPr>
        <w:t>shkon përtej përmbajtjes së Strategjisë duke shpjeguar objektivat dhe nën-objektivat dhe mekanizmin e monitorimit dhe raportimit.</w:t>
      </w:r>
    </w:p>
    <w:p w14:paraId="4308E0A6" w14:textId="3DEC3F8C" w:rsidR="00303927" w:rsidRPr="00082FA3" w:rsidRDefault="00A6414A" w:rsidP="00AF2C68">
      <w:pPr>
        <w:pStyle w:val="Heading2"/>
        <w:numPr>
          <w:ilvl w:val="1"/>
          <w:numId w:val="16"/>
        </w:numPr>
        <w:rPr>
          <w:rFonts w:cs="Calibri Light"/>
          <w:lang w:val="sq-AL"/>
        </w:rPr>
      </w:pPr>
      <w:bookmarkStart w:id="6" w:name="_Toc497820340"/>
      <w:r w:rsidRPr="00082FA3">
        <w:rPr>
          <w:rFonts w:cs="Calibri Light"/>
          <w:lang w:val="sq-AL"/>
        </w:rPr>
        <w:t>Historiku</w:t>
      </w:r>
      <w:bookmarkEnd w:id="6"/>
      <w:r w:rsidR="00F26377" w:rsidRPr="00082FA3">
        <w:rPr>
          <w:rFonts w:cs="Calibri Light"/>
          <w:lang w:val="sq-AL"/>
        </w:rPr>
        <w:t xml:space="preserve"> </w:t>
      </w:r>
    </w:p>
    <w:p w14:paraId="60173C2D" w14:textId="36DE7B49" w:rsidR="00A6414A" w:rsidRPr="00082FA3" w:rsidRDefault="00A6414A" w:rsidP="009B0468">
      <w:pPr>
        <w:rPr>
          <w:lang w:val="sq-AL"/>
        </w:rPr>
      </w:pPr>
      <w:r w:rsidRPr="00082FA3">
        <w:rPr>
          <w:lang w:val="sq-AL"/>
        </w:rPr>
        <w:t>Që nga shpallja e pavarësisë së saj në vitin 2008 ,Kosova e ka bërë integrimin evropian një prioritet kyç politik. Duke bërë disa përparime gjatë viteve të fundit në këtë drejtim - duke nënshkruar Marrëveshjen e Stabilizim Asociimit (SAA) në prill 2016, vendi është tani gati të marrë hapin e ardhshëm të aplikimit për anëtarësim në Bashkimin Evropian (BE) dhe të marrë statusin e kandidatit. Nga këndvështrimi i MSA-së, zhvillimi i shoqërisë civile është një mjet i rëndë</w:t>
      </w:r>
      <w:r w:rsidR="00FD1DC8" w:rsidRPr="00082FA3">
        <w:rPr>
          <w:lang w:val="sq-AL"/>
        </w:rPr>
        <w:t>sishëm për të arritur stabilizimin politik</w:t>
      </w:r>
      <w:r w:rsidR="00FD1DC8" w:rsidRPr="00082FA3">
        <w:rPr>
          <w:rStyle w:val="FootnoteReference"/>
          <w:lang w:val="sq-AL"/>
        </w:rPr>
        <w:footnoteReference w:id="1"/>
      </w:r>
      <w:r w:rsidRPr="00082FA3">
        <w:rPr>
          <w:lang w:val="sq-AL"/>
        </w:rPr>
        <w:t xml:space="preserve">, ekonomik dhe institucional, dhe kështu të afrohet me BE-në. Komisioni Evropian (KE) vazhdon të përcaktojë shoqërinë civile si një katalizator efektiv për ndryshime, për të ndihmuar qeverinë të përmirësojë politikat dhe shërbimet publike në </w:t>
      </w:r>
      <w:r w:rsidR="00954620" w:rsidRPr="00082FA3">
        <w:rPr>
          <w:lang w:val="sq-AL"/>
        </w:rPr>
        <w:t>emër</w:t>
      </w:r>
      <w:r w:rsidRPr="00082FA3">
        <w:rPr>
          <w:lang w:val="sq-AL"/>
        </w:rPr>
        <w:t xml:space="preserve"> të interesit të përgjithshëm publik.</w:t>
      </w:r>
    </w:p>
    <w:p w14:paraId="6B67C152" w14:textId="77777777" w:rsidR="00A6414A" w:rsidRPr="00082FA3" w:rsidRDefault="00A6414A" w:rsidP="009B0468">
      <w:pPr>
        <w:rPr>
          <w:lang w:val="sq-AL"/>
        </w:rPr>
      </w:pPr>
    </w:p>
    <w:p w14:paraId="633332A9" w14:textId="0F3C474D" w:rsidR="00AF2C68" w:rsidRPr="00082FA3" w:rsidRDefault="00FD1DC8" w:rsidP="00AF2C68">
      <w:pPr>
        <w:rPr>
          <w:lang w:val="sq-AL"/>
        </w:rPr>
      </w:pPr>
      <w:r w:rsidRPr="00082FA3">
        <w:rPr>
          <w:lang w:val="sq-AL"/>
        </w:rPr>
        <w:t xml:space="preserve">Në katër (4) vitet e fundit, marrëdhëniet në mes të shoqërisë civile dhe qeverisë në </w:t>
      </w:r>
      <w:r w:rsidRPr="00082FA3">
        <w:rPr>
          <w:b/>
          <w:lang w:val="sq-AL"/>
        </w:rPr>
        <w:t>një farë mase janë</w:t>
      </w:r>
      <w:r w:rsidRPr="00082FA3">
        <w:rPr>
          <w:lang w:val="sq-AL"/>
        </w:rPr>
        <w:t xml:space="preserve"> përmirësuar. </w:t>
      </w:r>
      <w:hyperlink r:id="rId10" w:history="1">
        <w:r w:rsidRPr="00082FA3">
          <w:rPr>
            <w:rStyle w:val="Hyperlink"/>
            <w:rFonts w:cs="Calibri Light"/>
            <w:lang w:val="sq-AL"/>
          </w:rPr>
          <w:t>Strategjia e Qeverisë për Bashkëpunim me Shoqërinë Civile</w:t>
        </w:r>
      </w:hyperlink>
      <w:r w:rsidRPr="00082FA3">
        <w:rPr>
          <w:lang w:val="sq-AL"/>
        </w:rPr>
        <w:t xml:space="preserve"> </w:t>
      </w:r>
      <w:r w:rsidRPr="00082FA3">
        <w:rPr>
          <w:b/>
          <w:lang w:val="sq-AL"/>
        </w:rPr>
        <w:t>(2013-2017)</w:t>
      </w:r>
      <w:r w:rsidRPr="00082FA3">
        <w:rPr>
          <w:lang w:val="sq-AL"/>
        </w:rPr>
        <w:t xml:space="preserve"> është një instrument politik i cili ka ndihmuar në këtë drejtim. Strategjia siguron një bazë të fortë bashkëpunimi midis qeverisë dhe shoqërisë civile, me qëllim që qeveria të mbajë përgjegjësi për krijimin e një mjedisi të favorshëm për zhvillimin e sektorit të shoqërisë civile në </w:t>
      </w:r>
      <w:r w:rsidRPr="00082FA3">
        <w:rPr>
          <w:rFonts w:cs="Calibri Light"/>
          <w:lang w:val="sq-AL"/>
        </w:rPr>
        <w:t>vend</w:t>
      </w:r>
      <w:r w:rsidRPr="00082FA3">
        <w:rPr>
          <w:rStyle w:val="FootnoteReference"/>
          <w:rFonts w:cs="Calibri Light"/>
          <w:lang w:val="sq-AL"/>
        </w:rPr>
        <w:footnoteReference w:id="2"/>
      </w:r>
      <w:r w:rsidRPr="00082FA3">
        <w:rPr>
          <w:rFonts w:cs="Calibri Light"/>
          <w:lang w:val="sq-AL"/>
        </w:rPr>
        <w:t xml:space="preserve">! </w:t>
      </w:r>
      <w:r w:rsidRPr="00082FA3">
        <w:rPr>
          <w:lang w:val="sq-AL"/>
        </w:rPr>
        <w:t xml:space="preserve">Si rezultat, shoqëria civile gjithnjë e më shumë është përfshirë në hartimin e politikave. Miratimi i </w:t>
      </w:r>
      <w:hyperlink r:id="rId11" w:history="1">
        <w:r w:rsidR="00954620" w:rsidRPr="00082FA3">
          <w:rPr>
            <w:rStyle w:val="Hyperlink"/>
            <w:rFonts w:cs="Calibri Light"/>
            <w:lang w:val="sq-AL"/>
          </w:rPr>
          <w:t>Rregullores</w:t>
        </w:r>
        <w:r w:rsidR="008B02D2" w:rsidRPr="00082FA3">
          <w:rPr>
            <w:rStyle w:val="Hyperlink"/>
            <w:rFonts w:cs="Calibri Light"/>
            <w:lang w:val="sq-AL"/>
          </w:rPr>
          <w:t xml:space="preserve"> për Standardet Minimale për Procesin e Konsultimit </w:t>
        </w:r>
        <w:r w:rsidR="00954620" w:rsidRPr="00082FA3">
          <w:rPr>
            <w:rStyle w:val="Hyperlink"/>
            <w:rFonts w:cs="Calibri Light"/>
            <w:lang w:val="sq-AL"/>
          </w:rPr>
          <w:t>Publik</w:t>
        </w:r>
      </w:hyperlink>
      <w:r w:rsidRPr="00082FA3">
        <w:rPr>
          <w:lang w:val="sq-AL"/>
        </w:rPr>
        <w:t xml:space="preserve"> (</w:t>
      </w:r>
      <w:r w:rsidR="008B02D2" w:rsidRPr="00082FA3">
        <w:rPr>
          <w:lang w:val="sq-AL"/>
        </w:rPr>
        <w:t>P</w:t>
      </w:r>
      <w:r w:rsidRPr="00082FA3">
        <w:rPr>
          <w:lang w:val="sq-AL"/>
        </w:rPr>
        <w:t xml:space="preserve">rill 2016) dhe </w:t>
      </w:r>
      <w:r w:rsidR="008B02D2" w:rsidRPr="00082FA3">
        <w:rPr>
          <w:lang w:val="sq-AL"/>
        </w:rPr>
        <w:t>lansimi</w:t>
      </w:r>
      <w:r w:rsidRPr="00082FA3">
        <w:rPr>
          <w:lang w:val="sq-AL"/>
        </w:rPr>
        <w:t xml:space="preserve"> i </w:t>
      </w:r>
      <w:hyperlink r:id="rId12" w:history="1">
        <w:r w:rsidRPr="00082FA3">
          <w:rPr>
            <w:rStyle w:val="Hyperlink"/>
            <w:lang w:val="sq-AL"/>
          </w:rPr>
          <w:t>Platformës Online për Konsultime Publike</w:t>
        </w:r>
      </w:hyperlink>
      <w:r w:rsidRPr="00082FA3">
        <w:rPr>
          <w:lang w:val="sq-AL"/>
        </w:rPr>
        <w:t xml:space="preserve"> (janar 2017) </w:t>
      </w:r>
      <w:r w:rsidR="00E46B3B">
        <w:rPr>
          <w:lang w:val="sq-AL"/>
        </w:rPr>
        <w:t>japin</w:t>
      </w:r>
      <w:r w:rsidRPr="00082FA3">
        <w:rPr>
          <w:lang w:val="sq-AL"/>
        </w:rPr>
        <w:t xml:space="preserve"> disa nga shembujt më të suksesshëm.</w:t>
      </w:r>
    </w:p>
    <w:p w14:paraId="587959E6" w14:textId="77777777" w:rsidR="00FD1DC8" w:rsidRPr="00082FA3" w:rsidRDefault="00FD1DC8" w:rsidP="00AF2C68">
      <w:pPr>
        <w:rPr>
          <w:lang w:val="sq-AL"/>
        </w:rPr>
      </w:pPr>
    </w:p>
    <w:p w14:paraId="6B53F652" w14:textId="35F169E1" w:rsidR="00B306A4" w:rsidRPr="00082FA3" w:rsidRDefault="008B02D2" w:rsidP="00303927">
      <w:pPr>
        <w:rPr>
          <w:rFonts w:cs="Calibri Light"/>
          <w:lang w:val="sq-AL"/>
        </w:rPr>
      </w:pPr>
      <w:r w:rsidRPr="00082FA3">
        <w:rPr>
          <w:rFonts w:cs="Calibri Light"/>
          <w:lang w:val="sq-AL"/>
        </w:rPr>
        <w:t xml:space="preserve">Në kuadër të Prioriteteve Strategjike, në mars 2017, ZQM dhe Ministria e Financave (MF) kanë hartuar dhe publikuar </w:t>
      </w:r>
      <w:hyperlink r:id="rId13" w:history="1">
        <w:r w:rsidRPr="00082FA3">
          <w:rPr>
            <w:rStyle w:val="Hyperlink"/>
            <w:lang w:val="sq-AL"/>
          </w:rPr>
          <w:t>Raportin për Mbështetjen Financiare Publike për OJQ-të nga institucionet e Republikës së Kosovës për vitet 2015-2016</w:t>
        </w:r>
      </w:hyperlink>
      <w:r w:rsidRPr="00082FA3">
        <w:rPr>
          <w:rStyle w:val="Hyperlink"/>
          <w:lang w:val="sq-AL"/>
        </w:rPr>
        <w:t>.</w:t>
      </w:r>
      <w:r w:rsidRPr="00082FA3">
        <w:rPr>
          <w:rFonts w:cs="Calibri Light"/>
          <w:lang w:val="sq-AL"/>
        </w:rPr>
        <w:t xml:space="preserve"> Për shumë analistë të politikave dhe aktivistë të shoqërisë civile, kjo shihet si një sukses i madh politik, meqë informacioni rreth financimit qeveritar të shoqërisë civile asnjëherë nuk është publikuar pavarësisht nga presioni i vazhdueshëm i shoqërisë civile. Përveç kësaj, në qershor të vitit 2017, ZQM ka krijuar një sistem transparent dhe të përgjegjshëm për të financuar organizatat e shoqërisë civile (OShC) duke miratuar </w:t>
      </w:r>
      <w:hyperlink r:id="rId14" w:history="1">
        <w:r w:rsidRPr="00082FA3">
          <w:rPr>
            <w:rStyle w:val="Hyperlink"/>
            <w:rFonts w:cs="Calibri Light"/>
            <w:lang w:val="sq-AL"/>
          </w:rPr>
          <w:t>Rregulloren mbi kriteret, standardet dhe procedurat bazë për financimin publik të OJQ-ve.</w:t>
        </w:r>
      </w:hyperlink>
    </w:p>
    <w:p w14:paraId="11E4E0AB" w14:textId="77777777" w:rsidR="008B02D2" w:rsidRPr="00082FA3" w:rsidRDefault="008B02D2" w:rsidP="00303927">
      <w:pPr>
        <w:rPr>
          <w:rFonts w:cs="Calibri Light"/>
          <w:lang w:val="sq-AL"/>
        </w:rPr>
      </w:pPr>
    </w:p>
    <w:p w14:paraId="21C992EF" w14:textId="71562B85" w:rsidR="00037EC6" w:rsidRPr="00082FA3" w:rsidRDefault="008B02D2" w:rsidP="00303927">
      <w:pPr>
        <w:rPr>
          <w:rFonts w:cs="Calibri Light"/>
          <w:lang w:val="sq-AL"/>
        </w:rPr>
      </w:pPr>
      <w:r w:rsidRPr="00082FA3">
        <w:rPr>
          <w:rFonts w:cs="Calibri Light"/>
          <w:lang w:val="sq-AL"/>
        </w:rPr>
        <w:t xml:space="preserve">Strategjia dhe Plani i Veprimit fillimisht janë miratuan nga Zyra e Kryeministrit (ZKM) </w:t>
      </w:r>
      <w:r w:rsidRPr="00082FA3">
        <w:rPr>
          <w:rFonts w:cs="Calibri Light"/>
          <w:b/>
          <w:lang w:val="sq-AL"/>
        </w:rPr>
        <w:t>në korrik të viti 2013</w:t>
      </w:r>
      <w:r w:rsidRPr="00082FA3">
        <w:rPr>
          <w:rStyle w:val="FootnoteReference"/>
          <w:rFonts w:cs="Calibri Light"/>
          <w:lang w:val="sq-AL"/>
        </w:rPr>
        <w:footnoteReference w:id="3"/>
      </w:r>
      <w:r w:rsidRPr="00082FA3">
        <w:rPr>
          <w:rFonts w:cs="Calibri Light"/>
          <w:b/>
          <w:lang w:val="sq-AL"/>
        </w:rPr>
        <w:t>,</w:t>
      </w:r>
      <w:r w:rsidRPr="00082FA3">
        <w:rPr>
          <w:rFonts w:cs="Calibri Light"/>
          <w:lang w:val="sq-AL"/>
        </w:rPr>
        <w:t xml:space="preserve"> me njohjen dhe vlerësimin e rolit dhe punës së shoqërisë civile në zhvillimin e demokracisë. Kjo iniciativë daton edhe më herët, me marrëveshjen e parë të bashkëpunimit të nënshkruar në nëntor 2007</w:t>
      </w:r>
      <w:r w:rsidRPr="00082FA3">
        <w:rPr>
          <w:rStyle w:val="FootnoteReference"/>
          <w:rFonts w:cs="Calibri Light"/>
          <w:lang w:val="sq-AL"/>
        </w:rPr>
        <w:footnoteReference w:id="4"/>
      </w:r>
      <w:r w:rsidRPr="00082FA3">
        <w:rPr>
          <w:rFonts w:cs="Calibri Light"/>
          <w:lang w:val="sq-AL"/>
        </w:rPr>
        <w:t xml:space="preserve">. Në fillim, për shkak të mungesës së vullnetit politik dhe kuptimit të rëndësisë së rolit të shoqërisë civile në hartimin e politikave, ky bashkëpunim nuk ishte aq i suksesshëm - derisa ZQM-ZKM dhe Platforma CiviKos nisën hartimin e Strategjisë në vitin 2012. Ky plan politikash është hartuar për katër (4) fusha prioritare ose të ashtuquajturat </w:t>
      </w:r>
      <w:r w:rsidRPr="00082FA3">
        <w:rPr>
          <w:rFonts w:cs="Calibri Light"/>
          <w:i/>
          <w:lang w:val="sq-AL"/>
        </w:rPr>
        <w:t>"objektiva strategjike"</w:t>
      </w:r>
      <w:r w:rsidRPr="00082FA3">
        <w:rPr>
          <w:rFonts w:cs="Calibri Light"/>
          <w:lang w:val="sq-AL"/>
        </w:rPr>
        <w:t xml:space="preserve"> duke përfshirë shoqërinë civile në (i) politikëbërje, (ii) ofrimin e shërbimeve publike, (iii) marrjen e fondeve publike, dhe (iv) promovimin e vullnetarizmit</w:t>
      </w:r>
      <w:r w:rsidRPr="00082FA3">
        <w:rPr>
          <w:rStyle w:val="FootnoteReference"/>
          <w:rFonts w:cs="Calibri Light"/>
          <w:lang w:val="sq-AL"/>
        </w:rPr>
        <w:footnoteReference w:id="5"/>
      </w:r>
      <w:r w:rsidRPr="00082FA3">
        <w:rPr>
          <w:rFonts w:cs="Calibri Light"/>
          <w:lang w:val="sq-AL"/>
        </w:rPr>
        <w:t>.</w:t>
      </w:r>
    </w:p>
    <w:p w14:paraId="77E1D4AC" w14:textId="11D07638" w:rsidR="00897DFD" w:rsidRPr="00082FA3" w:rsidRDefault="00897DFD" w:rsidP="006F33CB">
      <w:pPr>
        <w:rPr>
          <w:rFonts w:cs="Calibri Light"/>
          <w:lang w:val="sq-AL"/>
        </w:rPr>
      </w:pPr>
    </w:p>
    <w:p w14:paraId="05540136" w14:textId="77777777" w:rsidR="008B02D2" w:rsidRPr="00082FA3" w:rsidRDefault="008B02D2" w:rsidP="006F33CB">
      <w:pPr>
        <w:rPr>
          <w:rFonts w:cs="Calibri Light"/>
          <w:lang w:val="sq-AL"/>
        </w:rPr>
      </w:pPr>
    </w:p>
    <w:p w14:paraId="644C85CB" w14:textId="10722D27" w:rsidR="00A06DCA" w:rsidRPr="00082FA3" w:rsidRDefault="00A06DCA" w:rsidP="006F33CB">
      <w:pPr>
        <w:rPr>
          <w:rFonts w:cs="Calibri Light"/>
          <w:lang w:val="sq-AL"/>
        </w:rPr>
      </w:pPr>
      <w:r w:rsidRPr="00082FA3">
        <w:rPr>
          <w:rFonts w:cs="Calibri Light"/>
          <w:lang w:val="sq-AL"/>
        </w:rPr>
        <w:lastRenderedPageBreak/>
        <w:t xml:space="preserve">Vendimi për themelimin e një </w:t>
      </w:r>
      <w:r w:rsidRPr="00082FA3">
        <w:rPr>
          <w:rFonts w:cs="Calibri Light"/>
          <w:b/>
          <w:lang w:val="sq-AL"/>
        </w:rPr>
        <w:t>Këshilli</w:t>
      </w:r>
      <w:r w:rsidRPr="00082FA3">
        <w:rPr>
          <w:rFonts w:cs="Calibri Light"/>
          <w:lang w:val="sq-AL"/>
        </w:rPr>
        <w:t xml:space="preserve"> të posaçëm për zbatimin e Strategjisë është marrë më 2 prill 2014. Deri në tetor të të njëjtit vit, Këshilli u funksionalizua dhe krijoi grupe të Këshillit për monitorimin e secilit prej objektivave strategjike</w:t>
      </w:r>
      <w:r w:rsidRPr="00082FA3">
        <w:rPr>
          <w:rStyle w:val="FootnoteReference"/>
          <w:rFonts w:cs="Calibri Light"/>
          <w:lang w:val="sq-AL"/>
        </w:rPr>
        <w:footnoteReference w:id="6"/>
      </w:r>
      <w:r w:rsidRPr="00082FA3">
        <w:rPr>
          <w:rFonts w:cs="Calibri Light"/>
          <w:lang w:val="sq-AL"/>
        </w:rPr>
        <w:t xml:space="preserve">. Në total, Këshilli ka </w:t>
      </w:r>
      <w:r w:rsidRPr="00082FA3">
        <w:rPr>
          <w:rFonts w:cs="Calibri Light"/>
          <w:b/>
          <w:lang w:val="sq-AL"/>
        </w:rPr>
        <w:t>29 anëtarë</w:t>
      </w:r>
      <w:r w:rsidRPr="00082FA3">
        <w:rPr>
          <w:rFonts w:cs="Calibri Light"/>
          <w:lang w:val="sq-AL"/>
        </w:rPr>
        <w:t xml:space="preserve">, 14 nga institucionet qeveritare dhe 15 nga shoqëria civile </w:t>
      </w:r>
      <w:r w:rsidRPr="00082FA3">
        <w:rPr>
          <w:rFonts w:cs="Calibri Light"/>
          <w:i/>
          <w:lang w:val="sq-AL"/>
        </w:rPr>
        <w:t>(modeli në favor të shoqërisë civile).</w:t>
      </w:r>
      <w:r w:rsidRPr="00082FA3">
        <w:rPr>
          <w:rFonts w:cs="Calibri Light"/>
          <w:lang w:val="sq-AL"/>
        </w:rPr>
        <w:t xml:space="preserve"> </w:t>
      </w:r>
      <w:r w:rsidR="00F06D57" w:rsidRPr="00082FA3">
        <w:rPr>
          <w:rFonts w:cs="Calibri Light"/>
          <w:lang w:val="sq-AL"/>
        </w:rPr>
        <w:t xml:space="preserve">Në fillim, </w:t>
      </w:r>
      <w:r w:rsidR="00141185">
        <w:rPr>
          <w:rFonts w:cs="Calibri Light"/>
          <w:lang w:val="sq-AL"/>
        </w:rPr>
        <w:t>përfaqësues</w:t>
      </w:r>
      <w:r w:rsidR="008522F0">
        <w:rPr>
          <w:rFonts w:cs="Calibri Light"/>
          <w:lang w:val="sq-AL"/>
        </w:rPr>
        <w:t xml:space="preserve"> </w:t>
      </w:r>
      <w:r w:rsidR="00F06D57" w:rsidRPr="00082FA3">
        <w:rPr>
          <w:rFonts w:cs="Calibri Light"/>
          <w:lang w:val="sq-AL"/>
        </w:rPr>
        <w:t xml:space="preserve">nga qeveria kanë qenë Ministrat, por për arsye të mungesësës së pjesëmarrjes së tyre, është vendosur që qeveria t’i angazhoj Sekretarët e Përgjithshëm. </w:t>
      </w:r>
      <w:r w:rsidR="00954620" w:rsidRPr="00082FA3">
        <w:rPr>
          <w:rFonts w:cs="Calibri Light"/>
          <w:lang w:val="sq-AL"/>
        </w:rPr>
        <w:t>Ndonëse</w:t>
      </w:r>
      <w:r w:rsidRPr="00082FA3">
        <w:rPr>
          <w:rFonts w:cs="Calibri Light"/>
          <w:lang w:val="sq-AL"/>
        </w:rPr>
        <w:t xml:space="preserve"> anëtarët e qeverisë emërohen përmes Zyrës së Kryeministrit (ZKM) dhe ministrive specifike, anëtarët e shoqërisë civile emërohen nga Platforma CiviKos përmes një procesi të hapur dhe demokratik. Këshilli udhëhiqet nga Sekretari i Përgjithshëm i ZKM-së, Drejtori i Zyrës për Qeverisje të Mirë dhe Drejtori Ekzekutiv i CiviKos.</w:t>
      </w:r>
    </w:p>
    <w:p w14:paraId="72AE605A" w14:textId="42E9E48E" w:rsidR="00A06DCA" w:rsidRPr="00082FA3" w:rsidRDefault="00A06DCA" w:rsidP="006F33CB">
      <w:pPr>
        <w:rPr>
          <w:rFonts w:cs="Calibri Light"/>
          <w:lang w:val="sq-AL"/>
        </w:rPr>
      </w:pPr>
    </w:p>
    <w:p w14:paraId="3F075899" w14:textId="5A81ABFF" w:rsidR="00B43410" w:rsidRPr="00082FA3" w:rsidRDefault="004A3A1A" w:rsidP="006F33CB">
      <w:pPr>
        <w:rPr>
          <w:rFonts w:cs="Calibri Light"/>
          <w:lang w:val="sq-AL"/>
        </w:rPr>
      </w:pPr>
      <w:r w:rsidRPr="00082FA3">
        <w:rPr>
          <w:rFonts w:cs="Calibri Light"/>
          <w:lang w:val="sq-AL"/>
        </w:rPr>
        <w:t xml:space="preserve">Në përgjithësi, </w:t>
      </w:r>
      <w:r w:rsidRPr="00082FA3">
        <w:rPr>
          <w:rFonts w:cs="Calibri Light"/>
          <w:b/>
          <w:lang w:val="sq-AL"/>
        </w:rPr>
        <w:t>Këshilli</w:t>
      </w:r>
      <w:r w:rsidRPr="00082FA3">
        <w:rPr>
          <w:rFonts w:cs="Calibri Light"/>
          <w:lang w:val="sq-AL"/>
        </w:rPr>
        <w:t xml:space="preserve"> është përgjegjës për </w:t>
      </w:r>
      <w:r w:rsidRPr="00082FA3">
        <w:rPr>
          <w:rFonts w:cs="Calibri Light"/>
          <w:b/>
          <w:lang w:val="sq-AL"/>
        </w:rPr>
        <w:t>monitorimin</w:t>
      </w:r>
      <w:r w:rsidRPr="00082FA3">
        <w:rPr>
          <w:rFonts w:cs="Calibri Light"/>
          <w:lang w:val="sq-AL"/>
        </w:rPr>
        <w:t xml:space="preserve">, vlerësimin dhe raportimin e Strategjisë, diskutimin dhe propozimin e zgjidhjeve për problemet që kanë të bëjnë me zbatimin e Strategjisë dhe më gjerë, si dhe </w:t>
      </w:r>
      <w:r w:rsidR="00954620" w:rsidRPr="00082FA3">
        <w:rPr>
          <w:rFonts w:cs="Calibri Light"/>
          <w:lang w:val="sq-AL"/>
        </w:rPr>
        <w:t>ndërmarrjen</w:t>
      </w:r>
      <w:r w:rsidR="005E7407" w:rsidRPr="00082FA3">
        <w:rPr>
          <w:rFonts w:cs="Calibri Light"/>
          <w:lang w:val="sq-AL"/>
        </w:rPr>
        <w:t xml:space="preserve"> </w:t>
      </w:r>
      <w:r w:rsidRPr="00082FA3">
        <w:rPr>
          <w:rFonts w:cs="Calibri Light"/>
          <w:lang w:val="sq-AL"/>
        </w:rPr>
        <w:t>e iniciativave shtesë për zbatimin e suksesshëm të Strategjisë dhe politikave publike për zhvillimin e shoqërisë civile</w:t>
      </w:r>
      <w:r w:rsidR="005E7407" w:rsidRPr="00082FA3">
        <w:rPr>
          <w:rStyle w:val="FootnoteReference"/>
          <w:rFonts w:cs="Calibri Light"/>
          <w:lang w:val="sq-AL"/>
        </w:rPr>
        <w:footnoteReference w:id="7"/>
      </w:r>
      <w:r w:rsidRPr="00082FA3">
        <w:rPr>
          <w:rFonts w:cs="Calibri Light"/>
          <w:lang w:val="sq-AL"/>
        </w:rPr>
        <w:t xml:space="preserve">. Deri më sot, Këshilli ka arritur të hartojë planin e vet të punës dhe të krijojë katër </w:t>
      </w:r>
      <w:r w:rsidRPr="00082FA3">
        <w:rPr>
          <w:rFonts w:cs="Calibri Light"/>
          <w:b/>
          <w:lang w:val="sq-AL"/>
        </w:rPr>
        <w:t>grupe punuese</w:t>
      </w:r>
      <w:r w:rsidRPr="00082FA3">
        <w:rPr>
          <w:rFonts w:cs="Calibri Light"/>
          <w:lang w:val="sq-AL"/>
        </w:rPr>
        <w:t xml:space="preserve"> për </w:t>
      </w:r>
      <w:r w:rsidR="005E7407" w:rsidRPr="00082FA3">
        <w:rPr>
          <w:rFonts w:cs="Calibri Light"/>
          <w:lang w:val="sq-AL"/>
        </w:rPr>
        <w:t xml:space="preserve">secilën </w:t>
      </w:r>
      <w:r w:rsidR="00954620" w:rsidRPr="00082FA3">
        <w:rPr>
          <w:rFonts w:cs="Calibri Light"/>
          <w:lang w:val="sq-AL"/>
        </w:rPr>
        <w:t>objektivë</w:t>
      </w:r>
      <w:r w:rsidR="005E7407" w:rsidRPr="00082FA3">
        <w:rPr>
          <w:rFonts w:cs="Calibri Light"/>
          <w:lang w:val="sq-AL"/>
        </w:rPr>
        <w:t xml:space="preserve"> të</w:t>
      </w:r>
      <w:r w:rsidRPr="00082FA3">
        <w:rPr>
          <w:rFonts w:cs="Calibri Light"/>
          <w:lang w:val="sq-AL"/>
        </w:rPr>
        <w:t xml:space="preserve"> Strategjisë. Këto grupe punuese "janë themeluar me qëllim të rritjes së dinamikës së punës tematike, pa pasur nevojë për angazhim të vazhdueshëm të të gjithë Këshillit"</w:t>
      </w:r>
      <w:r w:rsidR="005E7407" w:rsidRPr="00082FA3">
        <w:rPr>
          <w:rStyle w:val="FootnoteReference"/>
          <w:rFonts w:cs="Calibri Light"/>
          <w:lang w:val="sq-AL"/>
        </w:rPr>
        <w:footnoteReference w:id="8"/>
      </w:r>
      <w:r w:rsidRPr="00082FA3">
        <w:rPr>
          <w:rFonts w:cs="Calibri Light"/>
          <w:lang w:val="sq-AL"/>
        </w:rPr>
        <w:t>.</w:t>
      </w:r>
      <w:r w:rsidR="00F53DDB" w:rsidRPr="00082FA3">
        <w:rPr>
          <w:rFonts w:cs="Calibri Light"/>
          <w:lang w:val="sq-AL"/>
        </w:rPr>
        <w:t xml:space="preserve"> Shtuar punës së Këshillit, progresi i arritur lidhur me zbatimin e Strategjisë vjen si rezultat i mbështetjes së projektit “Mbështetje për Zbatimin e Strategjisë Qeveritare për Bashkëpunim me Shoqërinë Civile,” projekt i mbështetur nga BE-ja, dhe punës së palodhshme të Fondacionit Kosovar për Shoqëri Civile (KCSF). Që të dyja i kanë ofruar mbështetje konstante Zyrës për Qeverisje të Mirë (ZQM) në hartimin e rregulloreve, krijimin e Platformës Online, dhe për shumë çështje apo aktivitete të tjera. </w:t>
      </w:r>
    </w:p>
    <w:p w14:paraId="0427288B" w14:textId="441B9FF2" w:rsidR="004A3A1A" w:rsidRPr="00082FA3" w:rsidRDefault="004A3A1A" w:rsidP="006F33CB">
      <w:pPr>
        <w:rPr>
          <w:rFonts w:cs="Calibri Light"/>
          <w:lang w:val="sq-AL"/>
        </w:rPr>
      </w:pPr>
    </w:p>
    <w:p w14:paraId="1B540FD8" w14:textId="686E5708" w:rsidR="005E7407" w:rsidRPr="00082FA3" w:rsidRDefault="005E7407" w:rsidP="003F223B">
      <w:pPr>
        <w:rPr>
          <w:rFonts w:cs="Calibri Light"/>
          <w:lang w:val="sq-AL"/>
        </w:rPr>
      </w:pPr>
      <w:r w:rsidRPr="00082FA3">
        <w:rPr>
          <w:rFonts w:cs="Calibri Light"/>
          <w:lang w:val="sq-AL"/>
        </w:rPr>
        <w:t>Zyra për Qeverisje të Mirë (ZQM) e ZKM-së shërben si Sekretariati i Këshillit dhe është përgjegjës për sigurimin e mbështetjes administrative dhe teknike në drejtim të monitorimit dhe raportimit të zbatimit të Strategjisë</w:t>
      </w:r>
      <w:r w:rsidRPr="00082FA3">
        <w:rPr>
          <w:rStyle w:val="FootnoteReference"/>
          <w:rFonts w:cs="Calibri Light"/>
          <w:lang w:val="sq-AL"/>
        </w:rPr>
        <w:footnoteReference w:id="9"/>
      </w:r>
      <w:r w:rsidRPr="00082FA3">
        <w:rPr>
          <w:rFonts w:cs="Calibri Light"/>
          <w:lang w:val="sq-AL"/>
        </w:rPr>
        <w:t>. Sekretariati është përgjegjës për thirrjen e seancave të Këshillit. Diskutimet në Këshill kryesisht bëhen lidhur me arritjet dhe sfidat në zbatimin e Strategjisë, propozimet për masat shtesë sipas nevojave. Vendimet merren kryesisht me konsensus. Në rast se nuk ka konsensus, vendimet votohen</w:t>
      </w:r>
      <w:r w:rsidRPr="00082FA3">
        <w:rPr>
          <w:rStyle w:val="FootnoteReference"/>
          <w:rFonts w:cs="Calibri Light"/>
          <w:lang w:val="sq-AL"/>
        </w:rPr>
        <w:footnoteReference w:id="10"/>
      </w:r>
      <w:r w:rsidR="00F06D57" w:rsidRPr="00082FA3">
        <w:rPr>
          <w:rFonts w:cs="Calibri Light"/>
          <w:lang w:val="sq-AL"/>
        </w:rPr>
        <w:t>, edhe pse kjo në praktikë kur nuk ka ndodhë.</w:t>
      </w:r>
      <w:r w:rsidRPr="00082FA3">
        <w:rPr>
          <w:rFonts w:cs="Calibri Light"/>
          <w:lang w:val="sq-AL"/>
        </w:rPr>
        <w:t xml:space="preserve"> ZQM, sipas mandatit, ka obligim të përgatisë raporte për zbatimin e Strategjisë Qeveritare, ndërsa Këshilli ndihmon dhe këshillon ZQM-në në </w:t>
      </w:r>
      <w:r w:rsidR="00954620" w:rsidRPr="00082FA3">
        <w:rPr>
          <w:rFonts w:cs="Calibri Light"/>
          <w:lang w:val="sq-AL"/>
        </w:rPr>
        <w:t>përgatitjen</w:t>
      </w:r>
      <w:r w:rsidRPr="00082FA3">
        <w:rPr>
          <w:rFonts w:cs="Calibri Light"/>
          <w:lang w:val="sq-AL"/>
        </w:rPr>
        <w:t xml:space="preserve"> e raporteve. Me ndihmën e GIZ-it, ZQM-ja ka përgatitur një matricë monitorimi që lehtëson mbledhjen e informacionit</w:t>
      </w:r>
      <w:r w:rsidRPr="00082FA3">
        <w:rPr>
          <w:rStyle w:val="FootnoteReference"/>
          <w:rFonts w:cs="Calibri Light"/>
          <w:lang w:val="sq-AL"/>
        </w:rPr>
        <w:footnoteReference w:id="11"/>
      </w:r>
      <w:r w:rsidRPr="00082FA3">
        <w:rPr>
          <w:rFonts w:cs="Calibri Light"/>
          <w:lang w:val="sq-AL"/>
        </w:rPr>
        <w:t>.</w:t>
      </w:r>
    </w:p>
    <w:p w14:paraId="7C73AD6C" w14:textId="412FB1DE" w:rsidR="00DC5657" w:rsidRPr="00082FA3" w:rsidRDefault="005E7407" w:rsidP="00DC5657">
      <w:pPr>
        <w:pStyle w:val="Heading2"/>
        <w:numPr>
          <w:ilvl w:val="1"/>
          <w:numId w:val="16"/>
        </w:numPr>
        <w:rPr>
          <w:lang w:val="sq-AL"/>
        </w:rPr>
      </w:pPr>
      <w:bookmarkStart w:id="8" w:name="_Toc497820341"/>
      <w:r w:rsidRPr="00082FA3">
        <w:rPr>
          <w:lang w:val="sq-AL"/>
        </w:rPr>
        <w:t xml:space="preserve">Përmbajtja e </w:t>
      </w:r>
      <w:r w:rsidR="00DC5657" w:rsidRPr="00082FA3">
        <w:rPr>
          <w:lang w:val="sq-AL"/>
        </w:rPr>
        <w:t>Strateg</w:t>
      </w:r>
      <w:r w:rsidRPr="00082FA3">
        <w:rPr>
          <w:lang w:val="sq-AL"/>
        </w:rPr>
        <w:t>jisë</w:t>
      </w:r>
      <w:bookmarkEnd w:id="8"/>
      <w:r w:rsidR="00DC5657" w:rsidRPr="00082FA3">
        <w:rPr>
          <w:lang w:val="sq-AL"/>
        </w:rPr>
        <w:t xml:space="preserve"> </w:t>
      </w:r>
    </w:p>
    <w:p w14:paraId="39E1D5B6" w14:textId="64727390" w:rsidR="00892252" w:rsidRPr="00082FA3" w:rsidRDefault="00892252" w:rsidP="006F33CB">
      <w:pPr>
        <w:rPr>
          <w:lang w:val="sq-AL"/>
        </w:rPr>
      </w:pPr>
      <w:r w:rsidRPr="00082FA3">
        <w:rPr>
          <w:lang w:val="sq-AL"/>
        </w:rPr>
        <w:t xml:space="preserve">Struktura e Strategjisë është përcaktuar sipas Udhëzimit Administrativ Nr. 02/2012 për </w:t>
      </w:r>
      <w:hyperlink r:id="rId15" w:history="1">
        <w:r w:rsidR="008173CF" w:rsidRPr="00082FA3">
          <w:rPr>
            <w:rStyle w:val="Hyperlink"/>
            <w:lang w:val="sq-AL"/>
          </w:rPr>
          <w:t>Procedurat, Kriteret dhe M</w:t>
        </w:r>
        <w:r w:rsidRPr="00082FA3">
          <w:rPr>
            <w:rStyle w:val="Hyperlink"/>
            <w:lang w:val="sq-AL"/>
          </w:rPr>
          <w:t>etodologjinë për përgatitjen dhe miratimin e dokumenteve strategjike dhe planeve për zbatim</w:t>
        </w:r>
      </w:hyperlink>
      <w:r w:rsidRPr="00082FA3">
        <w:rPr>
          <w:lang w:val="sq-AL"/>
        </w:rPr>
        <w:t xml:space="preserve">. </w:t>
      </w:r>
      <w:r w:rsidR="008173CF" w:rsidRPr="00082FA3">
        <w:rPr>
          <w:lang w:val="sq-AL"/>
        </w:rPr>
        <w:t>Prandaj</w:t>
      </w:r>
      <w:r w:rsidRPr="00082FA3">
        <w:rPr>
          <w:lang w:val="sq-AL"/>
        </w:rPr>
        <w:t>, ai përbëhet nga seksionet e mëposhtme siç kërkohet në nenin 9 të Udhëzimit Administrativ: përmbledhj</w:t>
      </w:r>
      <w:r w:rsidR="008173CF" w:rsidRPr="00082FA3">
        <w:rPr>
          <w:lang w:val="sq-AL"/>
        </w:rPr>
        <w:t>a</w:t>
      </w:r>
      <w:r w:rsidRPr="00082FA3">
        <w:rPr>
          <w:lang w:val="sq-AL"/>
        </w:rPr>
        <w:t xml:space="preserve"> ekzekutive, metodologji</w:t>
      </w:r>
      <w:r w:rsidR="008173CF" w:rsidRPr="00082FA3">
        <w:rPr>
          <w:lang w:val="sq-AL"/>
        </w:rPr>
        <w:t>a</w:t>
      </w:r>
      <w:r w:rsidRPr="00082FA3">
        <w:rPr>
          <w:lang w:val="sq-AL"/>
        </w:rPr>
        <w:t>, objektiva</w:t>
      </w:r>
      <w:r w:rsidR="008173CF" w:rsidRPr="00082FA3">
        <w:rPr>
          <w:lang w:val="sq-AL"/>
        </w:rPr>
        <w:t>t</w:t>
      </w:r>
      <w:r w:rsidRPr="00082FA3">
        <w:rPr>
          <w:lang w:val="sq-AL"/>
        </w:rPr>
        <w:t xml:space="preserve"> dhe një kurs veprimi të rekomanduar për të arritur misionin e </w:t>
      </w:r>
      <w:r w:rsidR="008173CF" w:rsidRPr="00082FA3">
        <w:rPr>
          <w:lang w:val="sq-AL"/>
        </w:rPr>
        <w:t>strategjisë</w:t>
      </w:r>
      <w:r w:rsidRPr="00082FA3">
        <w:rPr>
          <w:lang w:val="sq-AL"/>
        </w:rPr>
        <w:t xml:space="preserve"> në dritën e kufizimeve të mundshme (p.sh. buxheti)</w:t>
      </w:r>
      <w:r w:rsidR="008173CF" w:rsidRPr="00082FA3">
        <w:rPr>
          <w:rStyle w:val="FootnoteReference"/>
          <w:lang w:val="sq-AL"/>
        </w:rPr>
        <w:footnoteReference w:id="12"/>
      </w:r>
      <w:r w:rsidRPr="00082FA3">
        <w:rPr>
          <w:lang w:val="sq-AL"/>
        </w:rPr>
        <w:t xml:space="preserve">. Megjithatë, përmbajtja e Strategjisë nuk përputhet plotësisht me atë që kërkohet në Udhëzimin Administrativ. Seksionet </w:t>
      </w:r>
      <w:r w:rsidR="002E0C8F">
        <w:rPr>
          <w:lang w:val="sq-AL"/>
        </w:rPr>
        <w:t>e</w:t>
      </w:r>
      <w:r w:rsidRPr="00082FA3">
        <w:rPr>
          <w:lang w:val="sq-AL"/>
        </w:rPr>
        <w:t xml:space="preserve"> </w:t>
      </w:r>
      <w:r w:rsidR="002E0C8F">
        <w:rPr>
          <w:b/>
          <w:lang w:val="sq-AL"/>
        </w:rPr>
        <w:t>h</w:t>
      </w:r>
      <w:r w:rsidR="008173CF" w:rsidRPr="00082FA3">
        <w:rPr>
          <w:b/>
          <w:lang w:val="sq-AL"/>
        </w:rPr>
        <w:t>yrje</w:t>
      </w:r>
      <w:r w:rsidR="002E0C8F">
        <w:rPr>
          <w:b/>
          <w:lang w:val="sq-AL"/>
        </w:rPr>
        <w:t>s</w:t>
      </w:r>
      <w:r w:rsidRPr="00082FA3">
        <w:rPr>
          <w:b/>
          <w:lang w:val="sq-AL"/>
        </w:rPr>
        <w:t xml:space="preserve"> </w:t>
      </w:r>
      <w:r w:rsidRPr="00082FA3">
        <w:rPr>
          <w:lang w:val="sq-AL"/>
        </w:rPr>
        <w:t xml:space="preserve">dhe </w:t>
      </w:r>
      <w:r w:rsidR="002E0C8F">
        <w:rPr>
          <w:b/>
          <w:lang w:val="sq-AL"/>
        </w:rPr>
        <w:t>h</w:t>
      </w:r>
      <w:r w:rsidR="008173CF" w:rsidRPr="00082FA3">
        <w:rPr>
          <w:b/>
          <w:lang w:val="sq-AL"/>
        </w:rPr>
        <w:t>istoriku</w:t>
      </w:r>
      <w:r w:rsidR="002E0C8F">
        <w:rPr>
          <w:b/>
          <w:lang w:val="sq-AL"/>
        </w:rPr>
        <w:t>t</w:t>
      </w:r>
      <w:r w:rsidRPr="00082FA3">
        <w:rPr>
          <w:b/>
          <w:lang w:val="sq-AL"/>
        </w:rPr>
        <w:t xml:space="preserve"> </w:t>
      </w:r>
      <w:r w:rsidRPr="00082FA3">
        <w:rPr>
          <w:lang w:val="sq-AL"/>
        </w:rPr>
        <w:t>nuk janë të përfshira në Strategji.</w:t>
      </w:r>
    </w:p>
    <w:p w14:paraId="3041201C" w14:textId="77777777" w:rsidR="00F06D57" w:rsidRPr="00082FA3" w:rsidRDefault="00F06D57" w:rsidP="006F33CB">
      <w:pPr>
        <w:rPr>
          <w:lang w:val="sq-AL"/>
        </w:rPr>
      </w:pPr>
    </w:p>
    <w:p w14:paraId="18C8EDDC" w14:textId="770D2FF7" w:rsidR="008173CF" w:rsidRPr="00082FA3" w:rsidRDefault="00880754" w:rsidP="006F33CB">
      <w:pPr>
        <w:rPr>
          <w:lang w:val="sq-AL"/>
        </w:rPr>
      </w:pPr>
      <w:r w:rsidRPr="00082FA3">
        <w:rPr>
          <w:lang w:val="sq-AL"/>
        </w:rPr>
        <w:t xml:space="preserve">Seksionet që nuk mbulohen nga Strategjia </w:t>
      </w:r>
      <w:r w:rsidR="002E0C8F">
        <w:rPr>
          <w:lang w:val="sq-AL"/>
        </w:rPr>
        <w:t>paraqesin</w:t>
      </w:r>
      <w:r w:rsidRPr="00082FA3">
        <w:rPr>
          <w:lang w:val="sq-AL"/>
        </w:rPr>
        <w:t xml:space="preserve"> </w:t>
      </w:r>
      <w:r w:rsidR="00F06D57" w:rsidRPr="00082FA3">
        <w:rPr>
          <w:lang w:val="sq-AL"/>
        </w:rPr>
        <w:t xml:space="preserve">disa </w:t>
      </w:r>
      <w:r w:rsidR="002E0C8F">
        <w:rPr>
          <w:lang w:val="sq-AL"/>
        </w:rPr>
        <w:t>mangësi</w:t>
      </w:r>
      <w:r w:rsidRPr="00082FA3">
        <w:rPr>
          <w:lang w:val="sq-AL"/>
        </w:rPr>
        <w:t xml:space="preserve">. Seksioni i hyrjes do të diskutojë se si strategjia lidhet me prioritetet e qeverisë dhe përcakton arsyet për fillimin e hartimit të Strategjisë. Seksioni i </w:t>
      </w:r>
      <w:r w:rsidR="006538C5" w:rsidRPr="00082FA3">
        <w:rPr>
          <w:lang w:val="sq-AL"/>
        </w:rPr>
        <w:t>historikut</w:t>
      </w:r>
      <w:r w:rsidRPr="00082FA3">
        <w:rPr>
          <w:lang w:val="sq-AL"/>
        </w:rPr>
        <w:t xml:space="preserve"> nuk </w:t>
      </w:r>
      <w:r w:rsidR="006538C5" w:rsidRPr="00082FA3">
        <w:rPr>
          <w:lang w:val="sq-AL"/>
        </w:rPr>
        <w:t>janë të njohura</w:t>
      </w:r>
      <w:r w:rsidRPr="00082FA3">
        <w:rPr>
          <w:lang w:val="sq-AL"/>
        </w:rPr>
        <w:t xml:space="preserve"> në Strategji, megjithëse është adresuar deri diku në diskutimin e bashkëpunimit të qeverisë dhe shoqërisë civile. Sidoqoftë, ky seksion nuk përmban aspak një përkufizim </w:t>
      </w:r>
      <w:r w:rsidRPr="00082FA3">
        <w:rPr>
          <w:lang w:val="sq-AL"/>
        </w:rPr>
        <w:lastRenderedPageBreak/>
        <w:t xml:space="preserve">të qartë të problemeve që trajtohen nga Strategjia siç kërkon Udhëzimi Administrativ. Identifikimi i problemit është qëllimi kryesor i këtij seksioni dhe diskutimi se si problemi </w:t>
      </w:r>
      <w:r w:rsidR="006538C5" w:rsidRPr="00082FA3">
        <w:rPr>
          <w:lang w:val="sq-AL"/>
        </w:rPr>
        <w:t xml:space="preserve">ka </w:t>
      </w:r>
      <w:r w:rsidRPr="00082FA3">
        <w:rPr>
          <w:lang w:val="sq-AL"/>
        </w:rPr>
        <w:t>evolu</w:t>
      </w:r>
      <w:r w:rsidR="006538C5" w:rsidRPr="00082FA3">
        <w:rPr>
          <w:lang w:val="sq-AL"/>
        </w:rPr>
        <w:t>ar</w:t>
      </w:r>
      <w:r w:rsidRPr="00082FA3">
        <w:rPr>
          <w:lang w:val="sq-AL"/>
        </w:rPr>
        <w:t xml:space="preserve"> me kalimin e kohës dhe </w:t>
      </w:r>
      <w:r w:rsidR="006538C5" w:rsidRPr="00082FA3">
        <w:rPr>
          <w:lang w:val="sq-AL"/>
        </w:rPr>
        <w:t xml:space="preserve">bën </w:t>
      </w:r>
      <w:r w:rsidRPr="00082FA3">
        <w:rPr>
          <w:lang w:val="sq-AL"/>
        </w:rPr>
        <w:t>krahas</w:t>
      </w:r>
      <w:r w:rsidR="006538C5" w:rsidRPr="00082FA3">
        <w:rPr>
          <w:lang w:val="sq-AL"/>
        </w:rPr>
        <w:t>ime me</w:t>
      </w:r>
      <w:r w:rsidRPr="00082FA3">
        <w:rPr>
          <w:lang w:val="sq-AL"/>
        </w:rPr>
        <w:t xml:space="preserve"> vendet e rajonit. Përveç kësaj, seksioni i </w:t>
      </w:r>
      <w:r w:rsidR="006538C5" w:rsidRPr="00082FA3">
        <w:rPr>
          <w:lang w:val="sq-AL"/>
        </w:rPr>
        <w:t>historikut</w:t>
      </w:r>
      <w:r w:rsidRPr="00082FA3">
        <w:rPr>
          <w:lang w:val="sq-AL"/>
        </w:rPr>
        <w:t xml:space="preserve"> nuk mbështetet në një analizë të thelluar </w:t>
      </w:r>
      <w:r w:rsidR="006538C5" w:rsidRPr="00082FA3">
        <w:rPr>
          <w:lang w:val="sq-AL"/>
        </w:rPr>
        <w:t xml:space="preserve">e </w:t>
      </w:r>
      <w:r w:rsidRPr="00082FA3">
        <w:rPr>
          <w:lang w:val="sq-AL"/>
        </w:rPr>
        <w:t xml:space="preserve">të mbështetur nga të dhënat që janë </w:t>
      </w:r>
      <w:r w:rsidR="006538C5" w:rsidRPr="00082FA3">
        <w:rPr>
          <w:lang w:val="sq-AL"/>
        </w:rPr>
        <w:t>marrë</w:t>
      </w:r>
      <w:r w:rsidRPr="00082FA3">
        <w:rPr>
          <w:lang w:val="sq-AL"/>
        </w:rPr>
        <w:t xml:space="preserve"> gjatë zhvillimit të strategjisë.</w:t>
      </w:r>
    </w:p>
    <w:p w14:paraId="7C209FB5" w14:textId="77777777" w:rsidR="00880754" w:rsidRPr="00082FA3" w:rsidRDefault="00880754" w:rsidP="006F33CB">
      <w:pPr>
        <w:rPr>
          <w:lang w:val="sq-AL"/>
        </w:rPr>
      </w:pPr>
    </w:p>
    <w:p w14:paraId="7711D8B7" w14:textId="77777777" w:rsidR="00D36242" w:rsidRPr="00082FA3" w:rsidRDefault="00D36242" w:rsidP="006F33CB">
      <w:pPr>
        <w:rPr>
          <w:lang w:val="sq-AL"/>
        </w:rPr>
      </w:pPr>
    </w:p>
    <w:p w14:paraId="6E32EA9C" w14:textId="77777777" w:rsidR="005617F9" w:rsidRPr="00082FA3" w:rsidRDefault="005617F9" w:rsidP="006F33CB">
      <w:pPr>
        <w:rPr>
          <w:lang w:val="sq-AL"/>
        </w:rPr>
      </w:pPr>
    </w:p>
    <w:p w14:paraId="294A9964" w14:textId="701224B3" w:rsidR="005617F9" w:rsidRPr="00082FA3" w:rsidRDefault="005617F9" w:rsidP="006F33CB">
      <w:pPr>
        <w:rPr>
          <w:lang w:val="sq-AL"/>
        </w:rPr>
      </w:pPr>
      <w:r w:rsidRPr="00082FA3">
        <w:rPr>
          <w:lang w:val="sq-AL"/>
        </w:rPr>
        <w:t xml:space="preserve">Përveç kësaj, në Strategji ka shumë seksione që nuk përputhen plotësisht me Udhëzimin Administrativ dhe janë paksa </w:t>
      </w:r>
      <w:r w:rsidR="000F115B" w:rsidRPr="00082FA3">
        <w:rPr>
          <w:lang w:val="sq-AL"/>
        </w:rPr>
        <w:t xml:space="preserve">të </w:t>
      </w:r>
      <w:r w:rsidR="00954620" w:rsidRPr="00082FA3">
        <w:rPr>
          <w:lang w:val="sq-AL"/>
        </w:rPr>
        <w:t>shpërputhura</w:t>
      </w:r>
      <w:r w:rsidRPr="00082FA3">
        <w:rPr>
          <w:lang w:val="sq-AL"/>
        </w:rPr>
        <w:t xml:space="preserve">. Në një përmbledhje të shkurtër, lista e seksioneve të mbuluara dhe </w:t>
      </w:r>
      <w:r w:rsidR="000F115B" w:rsidRPr="00082FA3">
        <w:rPr>
          <w:lang w:val="sq-AL"/>
        </w:rPr>
        <w:t xml:space="preserve">jo të </w:t>
      </w:r>
      <w:r w:rsidRPr="00082FA3">
        <w:rPr>
          <w:lang w:val="sq-AL"/>
        </w:rPr>
        <w:t>mbul</w:t>
      </w:r>
      <w:r w:rsidR="000F115B" w:rsidRPr="00082FA3">
        <w:rPr>
          <w:lang w:val="sq-AL"/>
        </w:rPr>
        <w:t xml:space="preserve">uara </w:t>
      </w:r>
      <w:r w:rsidRPr="00082FA3">
        <w:rPr>
          <w:lang w:val="sq-AL"/>
        </w:rPr>
        <w:t>nga Strategjia në krahasim me Udhëzimin Administrativ (</w:t>
      </w:r>
      <w:r w:rsidR="000F115B" w:rsidRPr="00082FA3">
        <w:rPr>
          <w:lang w:val="sq-AL"/>
        </w:rPr>
        <w:t>U</w:t>
      </w:r>
      <w:r w:rsidRPr="00082FA3">
        <w:rPr>
          <w:lang w:val="sq-AL"/>
        </w:rPr>
        <w:t>A) është paraqitur si në vijim:</w:t>
      </w:r>
    </w:p>
    <w:p w14:paraId="6FE9D84C" w14:textId="2770FABC" w:rsidR="00026AD8" w:rsidRPr="00082FA3" w:rsidRDefault="00026AD8" w:rsidP="006F33CB">
      <w:pPr>
        <w:rPr>
          <w:lang w:val="sq-AL"/>
        </w:rPr>
      </w:pPr>
    </w:p>
    <w:p w14:paraId="02D03D89" w14:textId="06297813" w:rsidR="0080463C" w:rsidRPr="00082FA3" w:rsidRDefault="000F115B" w:rsidP="0080463C">
      <w:pPr>
        <w:pStyle w:val="ListParagraph"/>
        <w:numPr>
          <w:ilvl w:val="0"/>
          <w:numId w:val="19"/>
        </w:numPr>
        <w:rPr>
          <w:lang w:val="sq-AL"/>
        </w:rPr>
      </w:pPr>
      <w:r w:rsidRPr="00082FA3">
        <w:rPr>
          <w:b/>
          <w:lang w:val="sq-AL"/>
        </w:rPr>
        <w:t xml:space="preserve">Përmbledhja </w:t>
      </w:r>
      <w:r w:rsidR="00026AD8" w:rsidRPr="00082FA3">
        <w:rPr>
          <w:b/>
          <w:lang w:val="sq-AL"/>
        </w:rPr>
        <w:t>E</w:t>
      </w:r>
      <w:r w:rsidR="00954620" w:rsidRPr="00082FA3">
        <w:rPr>
          <w:b/>
          <w:lang w:val="sq-AL"/>
        </w:rPr>
        <w:t>kzekutive</w:t>
      </w:r>
      <w:r w:rsidRPr="00082FA3">
        <w:rPr>
          <w:b/>
          <w:lang w:val="sq-AL"/>
        </w:rPr>
        <w:t xml:space="preserve"> </w:t>
      </w:r>
      <w:r w:rsidR="00026AD8" w:rsidRPr="00082FA3">
        <w:rPr>
          <w:lang w:val="sq-AL"/>
        </w:rPr>
        <w:t xml:space="preserve">– </w:t>
      </w:r>
      <w:r w:rsidR="0080463C" w:rsidRPr="00082FA3">
        <w:rPr>
          <w:lang w:val="sq-AL"/>
        </w:rPr>
        <w:t>Kjo pjesë mbulon listën e objektivave kryesore dhe një përmbledhje të shkurtër të rrjedhës së dakorduar të veprimit për të adresuar problemet e identifikuara në Strategji. Megjithatë, problemet e identifikuara nuk mbulohen në Strategjinë siç kërkon UA.</w:t>
      </w:r>
    </w:p>
    <w:p w14:paraId="70EADEE4" w14:textId="58B07F31" w:rsidR="008C3227" w:rsidRPr="00082FA3" w:rsidRDefault="000F115B" w:rsidP="0080463C">
      <w:pPr>
        <w:pStyle w:val="ListParagraph"/>
        <w:numPr>
          <w:ilvl w:val="0"/>
          <w:numId w:val="19"/>
        </w:numPr>
        <w:rPr>
          <w:lang w:val="sq-AL"/>
        </w:rPr>
      </w:pPr>
      <w:r w:rsidRPr="00082FA3">
        <w:rPr>
          <w:b/>
          <w:lang w:val="sq-AL"/>
        </w:rPr>
        <w:t>Metodologjia</w:t>
      </w:r>
      <w:r w:rsidR="008C3227" w:rsidRPr="00082FA3">
        <w:rPr>
          <w:b/>
          <w:lang w:val="sq-AL"/>
        </w:rPr>
        <w:t xml:space="preserve"> </w:t>
      </w:r>
      <w:r w:rsidR="008C3227" w:rsidRPr="00082FA3">
        <w:rPr>
          <w:lang w:val="sq-AL"/>
        </w:rPr>
        <w:t xml:space="preserve">– </w:t>
      </w:r>
      <w:r w:rsidR="0080463C" w:rsidRPr="00082FA3">
        <w:rPr>
          <w:lang w:val="sq-AL"/>
        </w:rPr>
        <w:t xml:space="preserve">Kjo pjesë mbulon listën e institucioneve që janë përfshirë në hartimin e strategjisë dhe palëve të tjera të interesit të cilët kanë ndihmuar në këtë proces. Megjithatë, kjo pjesë përmban gati tri faqe – duke tejkaluar kufirin maksimal prej një faqe e përcaktuar nga UA. </w:t>
      </w:r>
    </w:p>
    <w:p w14:paraId="261913D3" w14:textId="3860498D" w:rsidR="00CB3895" w:rsidRPr="00082FA3" w:rsidRDefault="00954620" w:rsidP="0080463C">
      <w:pPr>
        <w:pStyle w:val="ListParagraph"/>
        <w:numPr>
          <w:ilvl w:val="0"/>
          <w:numId w:val="19"/>
        </w:numPr>
        <w:rPr>
          <w:lang w:val="sq-AL"/>
        </w:rPr>
      </w:pPr>
      <w:r w:rsidRPr="00082FA3">
        <w:rPr>
          <w:b/>
          <w:lang w:val="sq-AL"/>
        </w:rPr>
        <w:t>Objektivat</w:t>
      </w:r>
      <w:r w:rsidR="00CB3895" w:rsidRPr="00082FA3">
        <w:rPr>
          <w:lang w:val="sq-AL"/>
        </w:rPr>
        <w:t xml:space="preserve"> – </w:t>
      </w:r>
      <w:r w:rsidR="0080463C" w:rsidRPr="00082FA3">
        <w:rPr>
          <w:lang w:val="sq-AL"/>
        </w:rPr>
        <w:t>Ky seksion mbulon katër objektiva strategjike të cilat janë specifike, të matshme, të arritshme, realiste dhe të bazuara në kohë (SMART). Megjithatë, ky seksion diskuton për objektivat në një gamë më të madhe sesa që është përcaktuar në Udhëzimin Administrativ.</w:t>
      </w:r>
      <w:r w:rsidR="00CB3895" w:rsidRPr="00082FA3">
        <w:rPr>
          <w:lang w:val="sq-AL"/>
        </w:rPr>
        <w:t xml:space="preserve"> </w:t>
      </w:r>
    </w:p>
    <w:p w14:paraId="610FB3D7" w14:textId="42090814" w:rsidR="0080463C" w:rsidRPr="00082FA3" w:rsidRDefault="00C200EF" w:rsidP="0080463C">
      <w:pPr>
        <w:pStyle w:val="ListParagraph"/>
        <w:numPr>
          <w:ilvl w:val="0"/>
          <w:numId w:val="19"/>
        </w:numPr>
        <w:rPr>
          <w:lang w:val="sq-AL"/>
        </w:rPr>
      </w:pPr>
      <w:r w:rsidRPr="00082FA3">
        <w:rPr>
          <w:b/>
          <w:lang w:val="sq-AL"/>
        </w:rPr>
        <w:t>Alternativ</w:t>
      </w:r>
      <w:r w:rsidR="000F115B" w:rsidRPr="00082FA3">
        <w:rPr>
          <w:b/>
          <w:lang w:val="sq-AL"/>
        </w:rPr>
        <w:t>at</w:t>
      </w:r>
      <w:r w:rsidRPr="00082FA3">
        <w:rPr>
          <w:b/>
          <w:lang w:val="sq-AL"/>
        </w:rPr>
        <w:t xml:space="preserve"> </w:t>
      </w:r>
      <w:r w:rsidRPr="00082FA3">
        <w:rPr>
          <w:lang w:val="sq-AL"/>
        </w:rPr>
        <w:t xml:space="preserve">– </w:t>
      </w:r>
      <w:r w:rsidR="0080463C" w:rsidRPr="00082FA3">
        <w:rPr>
          <w:lang w:val="sq-AL"/>
        </w:rPr>
        <w:t>Ky seksion bie nën objektivat strategj</w:t>
      </w:r>
      <w:r w:rsidR="006775DA" w:rsidRPr="00082FA3">
        <w:rPr>
          <w:lang w:val="sq-AL"/>
        </w:rPr>
        <w:t>ike. Megjithatë, alternativat te marrura parasysh</w:t>
      </w:r>
      <w:r w:rsidR="0080463C" w:rsidRPr="00082FA3">
        <w:rPr>
          <w:lang w:val="sq-AL"/>
        </w:rPr>
        <w:t xml:space="preserve"> nuk janë të përcaktuara mirë në Strategji. Ato janë </w:t>
      </w:r>
      <w:r w:rsidR="006775DA" w:rsidRPr="00082FA3">
        <w:rPr>
          <w:lang w:val="sq-AL"/>
        </w:rPr>
        <w:t xml:space="preserve">gjerësisht </w:t>
      </w:r>
      <w:r w:rsidR="0080463C" w:rsidRPr="00082FA3">
        <w:rPr>
          <w:lang w:val="sq-AL"/>
        </w:rPr>
        <w:t>të definuara pa nj</w:t>
      </w:r>
      <w:r w:rsidR="006775DA" w:rsidRPr="00082FA3">
        <w:rPr>
          <w:lang w:val="sq-AL"/>
        </w:rPr>
        <w:t xml:space="preserve">ë udhërrëfyes të qartë ecurinë e </w:t>
      </w:r>
      <w:r w:rsidR="00954620" w:rsidRPr="00082FA3">
        <w:rPr>
          <w:lang w:val="sq-AL"/>
        </w:rPr>
        <w:t>përmbushjes</w:t>
      </w:r>
      <w:r w:rsidR="006775DA" w:rsidRPr="00082FA3">
        <w:rPr>
          <w:lang w:val="sq-AL"/>
        </w:rPr>
        <w:t xml:space="preserve"> së objektivave</w:t>
      </w:r>
      <w:r w:rsidR="0080463C" w:rsidRPr="00082FA3">
        <w:rPr>
          <w:lang w:val="sq-AL"/>
        </w:rPr>
        <w:t xml:space="preserve"> strategjike.</w:t>
      </w:r>
    </w:p>
    <w:p w14:paraId="1CFBBAF5" w14:textId="530BE5D8" w:rsidR="006775DA" w:rsidRPr="00082FA3" w:rsidRDefault="00C200EF" w:rsidP="006775DA">
      <w:pPr>
        <w:pStyle w:val="ListParagraph"/>
        <w:numPr>
          <w:ilvl w:val="0"/>
          <w:numId w:val="19"/>
        </w:numPr>
        <w:rPr>
          <w:lang w:val="sq-AL"/>
        </w:rPr>
      </w:pPr>
      <w:r w:rsidRPr="00082FA3">
        <w:rPr>
          <w:b/>
          <w:lang w:val="sq-AL"/>
        </w:rPr>
        <w:t>Re</w:t>
      </w:r>
      <w:r w:rsidR="000F115B" w:rsidRPr="00082FA3">
        <w:rPr>
          <w:b/>
          <w:lang w:val="sq-AL"/>
        </w:rPr>
        <w:t>k</w:t>
      </w:r>
      <w:r w:rsidRPr="00082FA3">
        <w:rPr>
          <w:b/>
          <w:lang w:val="sq-AL"/>
        </w:rPr>
        <w:t>om</w:t>
      </w:r>
      <w:r w:rsidR="000F115B" w:rsidRPr="00082FA3">
        <w:rPr>
          <w:b/>
          <w:lang w:val="sq-AL"/>
        </w:rPr>
        <w:t>andimet</w:t>
      </w:r>
      <w:r w:rsidRPr="00082FA3">
        <w:rPr>
          <w:b/>
          <w:lang w:val="sq-AL"/>
        </w:rPr>
        <w:t xml:space="preserve"> </w:t>
      </w:r>
      <w:r w:rsidRPr="00082FA3">
        <w:rPr>
          <w:lang w:val="sq-AL"/>
        </w:rPr>
        <w:t xml:space="preserve">– </w:t>
      </w:r>
      <w:r w:rsidR="006775DA" w:rsidRPr="00082FA3">
        <w:rPr>
          <w:lang w:val="sq-AL"/>
        </w:rPr>
        <w:t xml:space="preserve">Ky seksion paraqitet në një formë masash dhe veprimi për çdo objektiv. Por asnjë </w:t>
      </w:r>
      <w:r w:rsidR="00954620" w:rsidRPr="00082FA3">
        <w:rPr>
          <w:lang w:val="sq-AL"/>
        </w:rPr>
        <w:t>kosto përfitim</w:t>
      </w:r>
      <w:r w:rsidR="006775DA" w:rsidRPr="00082FA3">
        <w:rPr>
          <w:lang w:val="sq-AL"/>
        </w:rPr>
        <w:t xml:space="preserve"> dhe rreziqe nuk i janë bashkangjitur atyre në Strategji siç do të kërkohej nga Udhëzimi Administrativ.</w:t>
      </w:r>
    </w:p>
    <w:p w14:paraId="232BA124" w14:textId="57AE01AE" w:rsidR="00C200EF" w:rsidRPr="00082FA3" w:rsidRDefault="00C200EF" w:rsidP="00C200EF">
      <w:pPr>
        <w:rPr>
          <w:lang w:val="sq-AL"/>
        </w:rPr>
      </w:pPr>
    </w:p>
    <w:p w14:paraId="6D99E62E" w14:textId="72C947A1" w:rsidR="00DA246E" w:rsidRPr="00082FA3" w:rsidRDefault="00DA246E" w:rsidP="00F06D57">
      <w:pPr>
        <w:rPr>
          <w:lang w:val="sq-AL"/>
        </w:rPr>
      </w:pPr>
      <w:r w:rsidRPr="00082FA3">
        <w:rPr>
          <w:lang w:val="sq-AL"/>
        </w:rPr>
        <w:t xml:space="preserve">Çështjet kryesore të identifikuara sa i përket strukturës dhe përmbajtjes së Strategjisë duhet të adresohen për përpilimin e Strategjisë për periudhën 2018-2022 në përputhje me kërkesat e përcaktuara në Udhëzimin Administrativ 02/2012. Kujdes të duhur duhet pasur gjatë shqyrtimit të </w:t>
      </w:r>
      <w:r w:rsidR="00954620" w:rsidRPr="00082FA3">
        <w:rPr>
          <w:lang w:val="sq-AL"/>
        </w:rPr>
        <w:t>strukturës</w:t>
      </w:r>
      <w:r w:rsidRPr="00082FA3">
        <w:rPr>
          <w:lang w:val="sq-AL"/>
        </w:rPr>
        <w:t xml:space="preserve">, përmbajtjes dhe hartimit të Strategjisë së re për caktimin e objektivave SMART, veprimeve dhe rezultateve. Janë përdorur shumë modele se si të vlerësohen strategjitë qeveritare, të cilat mund të ndihmojnë në shqyrtimin e Strategjisë ekzistuese. Shihni një shembull të  </w:t>
      </w:r>
      <w:r w:rsidRPr="00082FA3">
        <w:rPr>
          <w:i/>
          <w:lang w:val="sq-AL"/>
        </w:rPr>
        <w:t>Kornizës së Indeksit të Strategjive të Qeverisë</w:t>
      </w:r>
      <w:r w:rsidRPr="00082FA3">
        <w:rPr>
          <w:lang w:val="sq-AL"/>
        </w:rPr>
        <w:t xml:space="preserve"> që përdoret në Zelandën e Re duke klikuar </w:t>
      </w:r>
      <w:hyperlink r:id="rId16" w:history="1">
        <w:r w:rsidRPr="00082FA3">
          <w:rPr>
            <w:rStyle w:val="Hyperlink"/>
            <w:lang w:val="sq-AL"/>
          </w:rPr>
          <w:t>këtu</w:t>
        </w:r>
      </w:hyperlink>
      <w:r w:rsidR="00F06D57" w:rsidRPr="00082FA3">
        <w:rPr>
          <w:rStyle w:val="Hyperlink"/>
          <w:color w:val="auto"/>
          <w:u w:val="none"/>
          <w:lang w:val="sq-AL"/>
        </w:rPr>
        <w:t xml:space="preserve">. </w:t>
      </w:r>
    </w:p>
    <w:p w14:paraId="4A001344" w14:textId="2F821E7E" w:rsidR="003450C4" w:rsidRPr="00082FA3" w:rsidRDefault="00DC5657" w:rsidP="006F33CB">
      <w:pPr>
        <w:pStyle w:val="Heading2"/>
        <w:rPr>
          <w:rFonts w:cs="Calibri Light"/>
          <w:lang w:val="sq-AL"/>
        </w:rPr>
      </w:pPr>
      <w:bookmarkStart w:id="9" w:name="_Toc497820342"/>
      <w:r w:rsidRPr="00082FA3">
        <w:rPr>
          <w:rFonts w:cs="Calibri Light"/>
          <w:lang w:val="sq-AL"/>
        </w:rPr>
        <w:t>1.3</w:t>
      </w:r>
      <w:r w:rsidR="003450C4" w:rsidRPr="00082FA3">
        <w:rPr>
          <w:rFonts w:cs="Calibri Light"/>
          <w:lang w:val="sq-AL"/>
        </w:rPr>
        <w:t xml:space="preserve">. </w:t>
      </w:r>
      <w:r w:rsidR="00DA246E" w:rsidRPr="00082FA3">
        <w:rPr>
          <w:rFonts w:cs="Calibri Light"/>
          <w:lang w:val="sq-AL"/>
        </w:rPr>
        <w:t>Objektivat e vlerësimit</w:t>
      </w:r>
      <w:bookmarkEnd w:id="9"/>
    </w:p>
    <w:p w14:paraId="16C5BA26" w14:textId="1919F583" w:rsidR="00DA246E" w:rsidRPr="00082FA3" w:rsidRDefault="00DA246E" w:rsidP="006F33CB">
      <w:pPr>
        <w:rPr>
          <w:rFonts w:cs="Calibri Light"/>
          <w:lang w:val="sq-AL"/>
        </w:rPr>
      </w:pPr>
      <w:r w:rsidRPr="00082FA3">
        <w:rPr>
          <w:rFonts w:cs="Calibri Light"/>
          <w:lang w:val="sq-AL"/>
        </w:rPr>
        <w:t xml:space="preserve">Ky raport vlerësimi nxjerr në pah fushat ku është arritur progres dhe fushat ku progresi nuk </w:t>
      </w:r>
      <w:r w:rsidR="006F3086" w:rsidRPr="00082FA3">
        <w:rPr>
          <w:rFonts w:cs="Calibri Light"/>
          <w:lang w:val="sq-AL"/>
        </w:rPr>
        <w:t>ka qene</w:t>
      </w:r>
      <w:r w:rsidRPr="00082FA3">
        <w:rPr>
          <w:rFonts w:cs="Calibri Light"/>
          <w:lang w:val="sq-AL"/>
        </w:rPr>
        <w:t xml:space="preserve"> i mjaftueshëm (duke përfshirë a</w:t>
      </w:r>
      <w:r w:rsidR="006F3086" w:rsidRPr="00082FA3">
        <w:rPr>
          <w:rFonts w:cs="Calibri Light"/>
          <w:lang w:val="sq-AL"/>
        </w:rPr>
        <w:t>rsyet për mungesën e progresit)</w:t>
      </w:r>
      <w:r w:rsidRPr="00082FA3">
        <w:rPr>
          <w:rFonts w:cs="Calibri Light"/>
          <w:lang w:val="sq-AL"/>
        </w:rPr>
        <w:t xml:space="preserve"> sa i përket zbatimit të Strategjisë. Vlerësimi i zbatimit të Strategjisë do të ndihmojë qeverinë</w:t>
      </w:r>
      <w:r w:rsidR="006F3086" w:rsidRPr="00082FA3">
        <w:rPr>
          <w:rFonts w:cs="Calibri Light"/>
          <w:lang w:val="sq-AL"/>
        </w:rPr>
        <w:t xml:space="preserve"> që të</w:t>
      </w:r>
      <w:r w:rsidRPr="00082FA3">
        <w:rPr>
          <w:rFonts w:cs="Calibri Light"/>
          <w:lang w:val="sq-AL"/>
        </w:rPr>
        <w:t>:</w:t>
      </w:r>
    </w:p>
    <w:p w14:paraId="33B32BED" w14:textId="77777777" w:rsidR="006F33CB" w:rsidRPr="00082FA3" w:rsidRDefault="006F33CB" w:rsidP="006F33CB">
      <w:pPr>
        <w:rPr>
          <w:rFonts w:cs="Calibri Light"/>
          <w:lang w:val="sq-AL"/>
        </w:rPr>
      </w:pPr>
    </w:p>
    <w:p w14:paraId="0677E057" w14:textId="44FF255B" w:rsidR="004D6E32" w:rsidRPr="00082FA3" w:rsidRDefault="006F3086" w:rsidP="00F06D57">
      <w:pPr>
        <w:pStyle w:val="ListParagraph"/>
        <w:numPr>
          <w:ilvl w:val="0"/>
          <w:numId w:val="1"/>
        </w:numPr>
        <w:rPr>
          <w:rFonts w:cs="Calibri Light"/>
          <w:lang w:val="sq-AL"/>
        </w:rPr>
      </w:pPr>
      <w:r w:rsidRPr="00082FA3">
        <w:rPr>
          <w:rFonts w:cs="Calibri Light"/>
          <w:lang w:val="sq-AL"/>
        </w:rPr>
        <w:t xml:space="preserve">Kuptojnë shkallën e zbatimit të </w:t>
      </w:r>
      <w:r w:rsidRPr="00082FA3">
        <w:rPr>
          <w:rFonts w:cs="Calibri Light"/>
          <w:b/>
          <w:lang w:val="sq-AL"/>
        </w:rPr>
        <w:t>Strategjisë 2013-2017</w:t>
      </w:r>
      <w:r w:rsidRPr="00082FA3">
        <w:rPr>
          <w:rFonts w:cs="Calibri Light"/>
          <w:lang w:val="sq-AL"/>
        </w:rPr>
        <w:t>, si dhe Planin e Veprimit në aspektin e rezultateve dhe sa të jetë e mundur edhe ndikimin e tyre.</w:t>
      </w:r>
    </w:p>
    <w:p w14:paraId="15093AFA" w14:textId="11657621" w:rsidR="006F3086" w:rsidRPr="00082FA3" w:rsidRDefault="006F3086" w:rsidP="00F06D57">
      <w:pPr>
        <w:pStyle w:val="ListParagraph"/>
        <w:numPr>
          <w:ilvl w:val="0"/>
          <w:numId w:val="1"/>
        </w:numPr>
        <w:rPr>
          <w:rFonts w:cs="Calibri Light"/>
          <w:lang w:val="sq-AL"/>
        </w:rPr>
      </w:pPr>
      <w:r w:rsidRPr="00082FA3">
        <w:rPr>
          <w:rFonts w:cs="Calibri Light"/>
          <w:lang w:val="sq-AL"/>
        </w:rPr>
        <w:t xml:space="preserve">Fillojë zhvillimin e </w:t>
      </w:r>
      <w:r w:rsidRPr="00082FA3">
        <w:rPr>
          <w:rFonts w:cs="Calibri Light"/>
          <w:b/>
          <w:lang w:val="sq-AL"/>
        </w:rPr>
        <w:t>Strategjisë 2018-2022</w:t>
      </w:r>
      <w:r w:rsidRPr="00082FA3">
        <w:rPr>
          <w:rFonts w:cs="Calibri Light"/>
          <w:lang w:val="sq-AL"/>
        </w:rPr>
        <w:t xml:space="preserve"> dhe të shqyrtojë se çfarë ndryshimesh nga Strategjia e mëparshme do të ishin të nevojshme. </w:t>
      </w:r>
    </w:p>
    <w:p w14:paraId="6C035EC5" w14:textId="585D1B92" w:rsidR="003450C4" w:rsidRPr="00082FA3" w:rsidRDefault="00DC5657" w:rsidP="00E4322D">
      <w:pPr>
        <w:pStyle w:val="Heading2"/>
        <w:rPr>
          <w:rFonts w:cs="Calibri Light"/>
          <w:lang w:val="sq-AL"/>
        </w:rPr>
      </w:pPr>
      <w:bookmarkStart w:id="10" w:name="_Toc497820343"/>
      <w:r w:rsidRPr="00082FA3">
        <w:rPr>
          <w:rFonts w:cs="Calibri Light"/>
          <w:lang w:val="sq-AL"/>
        </w:rPr>
        <w:t>1.4</w:t>
      </w:r>
      <w:r w:rsidR="003450C4" w:rsidRPr="00082FA3">
        <w:rPr>
          <w:rFonts w:cs="Calibri Light"/>
          <w:lang w:val="sq-AL"/>
        </w:rPr>
        <w:t xml:space="preserve">. </w:t>
      </w:r>
      <w:r w:rsidR="00EC0D48" w:rsidRPr="00082FA3">
        <w:rPr>
          <w:rFonts w:cs="Calibri Light"/>
          <w:lang w:val="sq-AL"/>
        </w:rPr>
        <w:t>Met</w:t>
      </w:r>
      <w:r w:rsidR="006F3086" w:rsidRPr="00082FA3">
        <w:rPr>
          <w:rFonts w:cs="Calibri Light"/>
          <w:lang w:val="sq-AL"/>
        </w:rPr>
        <w:t>odologjia</w:t>
      </w:r>
      <w:bookmarkEnd w:id="10"/>
      <w:r w:rsidR="00EC0D48" w:rsidRPr="00082FA3">
        <w:rPr>
          <w:rFonts w:cs="Calibri Light"/>
          <w:lang w:val="sq-AL"/>
        </w:rPr>
        <w:t xml:space="preserve"> </w:t>
      </w:r>
    </w:p>
    <w:p w14:paraId="40AA4AB6" w14:textId="77777777" w:rsidR="006F3086" w:rsidRPr="00082FA3" w:rsidRDefault="006F3086" w:rsidP="00E4322D">
      <w:pPr>
        <w:rPr>
          <w:rFonts w:cs="Calibri Light"/>
          <w:lang w:val="sq-AL"/>
        </w:rPr>
      </w:pPr>
      <w:r w:rsidRPr="00082FA3">
        <w:rPr>
          <w:rFonts w:cs="Calibri Light"/>
          <w:lang w:val="sq-AL"/>
        </w:rPr>
        <w:t>Metodologjia për vlerësimin e Strategjisë përbëhet nga kriteret e vlerësimit dhe pyetjet si në tabelën në vijim.</w:t>
      </w:r>
    </w:p>
    <w:p w14:paraId="36121A24" w14:textId="77777777" w:rsidR="00042D85" w:rsidRPr="00082FA3" w:rsidRDefault="00042D85" w:rsidP="00042D85">
      <w:pPr>
        <w:rPr>
          <w:rFonts w:cs="Calibri Light"/>
          <w:lang w:val="sq-AL"/>
        </w:rPr>
      </w:pPr>
    </w:p>
    <w:tbl>
      <w:tblPr>
        <w:tblStyle w:val="PlainTable21"/>
        <w:tblW w:w="0" w:type="auto"/>
        <w:tblLook w:val="04A0" w:firstRow="1" w:lastRow="0" w:firstColumn="1" w:lastColumn="0" w:noHBand="0" w:noVBand="1"/>
      </w:tblPr>
      <w:tblGrid>
        <w:gridCol w:w="1350"/>
        <w:gridCol w:w="7712"/>
      </w:tblGrid>
      <w:tr w:rsidR="00042D85" w:rsidRPr="00082FA3" w14:paraId="1F840850" w14:textId="77777777" w:rsidTr="00422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0099CC"/>
          </w:tcPr>
          <w:p w14:paraId="6F819C76" w14:textId="0149BB77" w:rsidR="00042D85" w:rsidRPr="00082FA3" w:rsidRDefault="006F3086" w:rsidP="0025779E">
            <w:pPr>
              <w:rPr>
                <w:rFonts w:cs="Calibri Light"/>
                <w:b w:val="0"/>
                <w:color w:val="FFFFFF" w:themeColor="background1"/>
                <w:lang w:val="sq-AL"/>
              </w:rPr>
            </w:pPr>
            <w:r w:rsidRPr="00082FA3">
              <w:rPr>
                <w:rFonts w:cs="Calibri Light"/>
                <w:color w:val="FFFFFF" w:themeColor="background1"/>
                <w:lang w:val="sq-AL"/>
              </w:rPr>
              <w:t>Kriteret  vlerësimit</w:t>
            </w:r>
          </w:p>
        </w:tc>
        <w:tc>
          <w:tcPr>
            <w:tcW w:w="7712" w:type="dxa"/>
            <w:shd w:val="clear" w:color="auto" w:fill="0099CC"/>
          </w:tcPr>
          <w:p w14:paraId="5A5C3C59" w14:textId="19FCFE9E" w:rsidR="00E4322D" w:rsidRPr="00082FA3" w:rsidRDefault="006F3086" w:rsidP="0025779E">
            <w:pPr>
              <w:cnfStyle w:val="100000000000" w:firstRow="1" w:lastRow="0" w:firstColumn="0" w:lastColumn="0" w:oddVBand="0" w:evenVBand="0" w:oddHBand="0" w:evenHBand="0" w:firstRowFirstColumn="0" w:firstRowLastColumn="0" w:lastRowFirstColumn="0" w:lastRowLastColumn="0"/>
              <w:rPr>
                <w:rFonts w:cs="Calibri Light"/>
                <w:color w:val="FFFFFF" w:themeColor="background1"/>
                <w:lang w:val="sq-AL"/>
              </w:rPr>
            </w:pPr>
            <w:r w:rsidRPr="00082FA3">
              <w:rPr>
                <w:rFonts w:cs="Calibri Light"/>
                <w:color w:val="FFFFFF" w:themeColor="background1"/>
                <w:lang w:val="sq-AL"/>
              </w:rPr>
              <w:t>Pyetjet e vlerësimit</w:t>
            </w:r>
            <w:r w:rsidR="00E4322D" w:rsidRPr="00082FA3">
              <w:rPr>
                <w:rFonts w:cs="Calibri Light"/>
                <w:color w:val="FFFFFF" w:themeColor="background1"/>
                <w:lang w:val="sq-AL"/>
              </w:rPr>
              <w:t xml:space="preserve"> </w:t>
            </w:r>
          </w:p>
        </w:tc>
      </w:tr>
      <w:tr w:rsidR="00042D85" w:rsidRPr="00082FA3" w14:paraId="5A5B1095" w14:textId="77777777" w:rsidTr="001F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auto"/>
            </w:tcBorders>
            <w:shd w:val="clear" w:color="auto" w:fill="C9FFFF"/>
          </w:tcPr>
          <w:p w14:paraId="5F343167" w14:textId="77777777" w:rsidR="006F3086" w:rsidRPr="00082FA3" w:rsidRDefault="00042D85" w:rsidP="0025779E">
            <w:pPr>
              <w:rPr>
                <w:rFonts w:cs="Calibri Light"/>
                <w:lang w:val="sq-AL"/>
              </w:rPr>
            </w:pPr>
            <w:r w:rsidRPr="00082FA3">
              <w:rPr>
                <w:rFonts w:cs="Calibri Light"/>
                <w:lang w:val="sq-AL"/>
              </w:rPr>
              <w:t>Ef</w:t>
            </w:r>
            <w:r w:rsidR="006F3086" w:rsidRPr="00082FA3">
              <w:rPr>
                <w:rFonts w:cs="Calibri Light"/>
                <w:lang w:val="sq-AL"/>
              </w:rPr>
              <w:t>ektiviteti</w:t>
            </w:r>
          </w:p>
          <w:p w14:paraId="441C11B4" w14:textId="705823AB" w:rsidR="006F3086" w:rsidRPr="00082FA3" w:rsidRDefault="006F3086" w:rsidP="0025779E">
            <w:pPr>
              <w:rPr>
                <w:rFonts w:cs="Calibri Light"/>
                <w:lang w:val="sq-AL"/>
              </w:rPr>
            </w:pPr>
          </w:p>
          <w:p w14:paraId="273FA0B5" w14:textId="7CD2EA5F" w:rsidR="00042D85" w:rsidRPr="00082FA3" w:rsidRDefault="00042D85" w:rsidP="0025779E">
            <w:pPr>
              <w:rPr>
                <w:rFonts w:cs="Calibri Light"/>
                <w:lang w:val="sq-AL"/>
              </w:rPr>
            </w:pPr>
          </w:p>
        </w:tc>
        <w:tc>
          <w:tcPr>
            <w:tcW w:w="7712" w:type="dxa"/>
            <w:tcBorders>
              <w:left w:val="single" w:sz="4" w:space="0" w:color="auto"/>
            </w:tcBorders>
          </w:tcPr>
          <w:p w14:paraId="4F0509B5" w14:textId="4D0A51DF" w:rsidR="00042D85" w:rsidRPr="00082FA3"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sq-AL"/>
              </w:rPr>
            </w:pPr>
            <w:r w:rsidRPr="00082FA3">
              <w:rPr>
                <w:rFonts w:cs="Calibri Light"/>
                <w:lang w:val="sq-AL"/>
              </w:rPr>
              <w:lastRenderedPageBreak/>
              <w:t xml:space="preserve">1. </w:t>
            </w:r>
            <w:r w:rsidR="006F3086" w:rsidRPr="00082FA3">
              <w:rPr>
                <w:rFonts w:cs="Calibri Light"/>
                <w:lang w:val="sq-AL"/>
              </w:rPr>
              <w:t>Deri në çfarë mase janë zbatuar veprimet / masat e Planit të Veprimit</w:t>
            </w:r>
            <w:r w:rsidRPr="00082FA3">
              <w:rPr>
                <w:rFonts w:cs="Calibri Light"/>
                <w:lang w:val="sq-AL"/>
              </w:rPr>
              <w:t>?</w:t>
            </w:r>
          </w:p>
          <w:p w14:paraId="0F524950" w14:textId="6986CD37" w:rsidR="00042D85" w:rsidRPr="00082FA3"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sq-AL"/>
              </w:rPr>
            </w:pPr>
            <w:r w:rsidRPr="00082FA3">
              <w:rPr>
                <w:rFonts w:cs="Calibri Light"/>
                <w:lang w:val="sq-AL"/>
              </w:rPr>
              <w:lastRenderedPageBreak/>
              <w:t xml:space="preserve">2. </w:t>
            </w:r>
            <w:r w:rsidR="006F3086" w:rsidRPr="00082FA3">
              <w:rPr>
                <w:rFonts w:cs="Calibri Light"/>
                <w:lang w:val="sq-AL"/>
              </w:rPr>
              <w:t>Cilat kanë qenë rezultatet e realizuara në raport me objektivat specifike</w:t>
            </w:r>
            <w:r w:rsidRPr="00082FA3">
              <w:rPr>
                <w:rFonts w:cs="Calibri Light"/>
                <w:lang w:val="sq-AL"/>
              </w:rPr>
              <w:t>?</w:t>
            </w:r>
          </w:p>
          <w:p w14:paraId="62D32C65" w14:textId="0BE1869D" w:rsidR="00042D85" w:rsidRPr="00082FA3"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sq-AL"/>
              </w:rPr>
            </w:pPr>
            <w:r w:rsidRPr="00082FA3">
              <w:rPr>
                <w:rFonts w:cs="Calibri Light"/>
                <w:lang w:val="sq-AL"/>
              </w:rPr>
              <w:t xml:space="preserve">3. </w:t>
            </w:r>
            <w:r w:rsidR="006F3086" w:rsidRPr="00082FA3">
              <w:rPr>
                <w:rFonts w:cs="Calibri Light"/>
                <w:lang w:val="sq-AL"/>
              </w:rPr>
              <w:t>Deri në çfarë mase janë arritur objektivat dhe cili ka qenë ndikimi i tyre</w:t>
            </w:r>
            <w:r w:rsidR="004220BE" w:rsidRPr="00082FA3">
              <w:rPr>
                <w:rFonts w:cs="Calibri Light"/>
                <w:lang w:val="sq-AL"/>
              </w:rPr>
              <w:t xml:space="preserve">? </w:t>
            </w:r>
          </w:p>
        </w:tc>
      </w:tr>
      <w:tr w:rsidR="00042D85" w:rsidRPr="00082FA3" w14:paraId="634BBAEB" w14:textId="77777777" w:rsidTr="001F3B3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7F7F7F" w:themeColor="text1" w:themeTint="80"/>
              <w:bottom w:val="single" w:sz="4" w:space="0" w:color="7F7F7F" w:themeColor="text1" w:themeTint="80"/>
              <w:right w:val="single" w:sz="4" w:space="0" w:color="auto"/>
            </w:tcBorders>
            <w:shd w:val="clear" w:color="auto" w:fill="C9FFFF"/>
          </w:tcPr>
          <w:p w14:paraId="72980190" w14:textId="66CC5743" w:rsidR="00042D85" w:rsidRPr="00082FA3" w:rsidRDefault="00042D85" w:rsidP="0025779E">
            <w:pPr>
              <w:rPr>
                <w:rFonts w:cs="Calibri Light"/>
                <w:lang w:val="sq-AL"/>
              </w:rPr>
            </w:pPr>
            <w:r w:rsidRPr="00082FA3">
              <w:rPr>
                <w:rFonts w:cs="Calibri Light"/>
                <w:lang w:val="sq-AL"/>
              </w:rPr>
              <w:lastRenderedPageBreak/>
              <w:t>Ef</w:t>
            </w:r>
            <w:r w:rsidR="006F3086" w:rsidRPr="00082FA3">
              <w:rPr>
                <w:rFonts w:cs="Calibri Light"/>
                <w:lang w:val="sq-AL"/>
              </w:rPr>
              <w:t>ikasiteti</w:t>
            </w:r>
          </w:p>
        </w:tc>
        <w:tc>
          <w:tcPr>
            <w:tcW w:w="7712" w:type="dxa"/>
            <w:tcBorders>
              <w:left w:val="single" w:sz="4" w:space="0" w:color="auto"/>
            </w:tcBorders>
          </w:tcPr>
          <w:p w14:paraId="4C80DE8F" w14:textId="7584C11F" w:rsidR="00042D85" w:rsidRPr="00082FA3"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sq-AL"/>
              </w:rPr>
            </w:pPr>
            <w:r w:rsidRPr="00082FA3">
              <w:rPr>
                <w:rFonts w:cs="Calibri Light"/>
                <w:lang w:val="sq-AL"/>
              </w:rPr>
              <w:t xml:space="preserve">4. </w:t>
            </w:r>
            <w:r w:rsidR="006F3086" w:rsidRPr="00082FA3">
              <w:rPr>
                <w:rFonts w:cs="Calibri Light"/>
                <w:lang w:val="sq-AL"/>
              </w:rPr>
              <w:t>A janë ndarë burime të mjaftueshme për arritjen e objektivave strategjike</w:t>
            </w:r>
            <w:r w:rsidR="004220BE" w:rsidRPr="00082FA3">
              <w:rPr>
                <w:rFonts w:cs="Calibri Light"/>
                <w:lang w:val="sq-AL"/>
              </w:rPr>
              <w:t xml:space="preserve">? </w:t>
            </w:r>
          </w:p>
          <w:p w14:paraId="06E6E780" w14:textId="13A5A99A" w:rsidR="00042D85" w:rsidRPr="00082FA3"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sq-AL"/>
              </w:rPr>
            </w:pPr>
            <w:r w:rsidRPr="00082FA3">
              <w:rPr>
                <w:rFonts w:cs="Calibri Light"/>
                <w:lang w:val="sq-AL"/>
              </w:rPr>
              <w:t xml:space="preserve">5. </w:t>
            </w:r>
            <w:r w:rsidR="00DC68A9" w:rsidRPr="00082FA3">
              <w:rPr>
                <w:rFonts w:cs="Calibri Light"/>
                <w:lang w:val="sq-AL"/>
              </w:rPr>
              <w:t>Çfarë burimesh plotësuese do të jetë e nevojshme për një implementim më efikas</w:t>
            </w:r>
            <w:r w:rsidR="004220BE" w:rsidRPr="00082FA3">
              <w:rPr>
                <w:rFonts w:cs="Calibri Light"/>
                <w:lang w:val="sq-AL"/>
              </w:rPr>
              <w:t xml:space="preserve">? </w:t>
            </w:r>
          </w:p>
        </w:tc>
      </w:tr>
      <w:tr w:rsidR="00042D85" w:rsidRPr="00082FA3" w14:paraId="7F847CDE" w14:textId="77777777" w:rsidTr="001F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auto"/>
            </w:tcBorders>
            <w:shd w:val="clear" w:color="auto" w:fill="C9FFFF"/>
          </w:tcPr>
          <w:p w14:paraId="6B4EA3A8" w14:textId="5668DC8B" w:rsidR="00042D85" w:rsidRPr="00082FA3" w:rsidRDefault="00042D85" w:rsidP="0025779E">
            <w:pPr>
              <w:rPr>
                <w:rFonts w:cs="Calibri Light"/>
                <w:lang w:val="sq-AL"/>
              </w:rPr>
            </w:pPr>
            <w:r w:rsidRPr="00082FA3">
              <w:rPr>
                <w:rFonts w:cs="Calibri Light"/>
                <w:lang w:val="sq-AL"/>
              </w:rPr>
              <w:t>Relevanc</w:t>
            </w:r>
            <w:r w:rsidR="006F3086" w:rsidRPr="00082FA3">
              <w:rPr>
                <w:rFonts w:cs="Calibri Light"/>
                <w:lang w:val="sq-AL"/>
              </w:rPr>
              <w:t>a</w:t>
            </w:r>
          </w:p>
        </w:tc>
        <w:tc>
          <w:tcPr>
            <w:tcW w:w="7712" w:type="dxa"/>
            <w:tcBorders>
              <w:left w:val="single" w:sz="4" w:space="0" w:color="auto"/>
            </w:tcBorders>
          </w:tcPr>
          <w:p w14:paraId="42E95F83" w14:textId="77D7586D" w:rsidR="00042D85" w:rsidRPr="00082FA3"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sq-AL"/>
              </w:rPr>
            </w:pPr>
            <w:r w:rsidRPr="00082FA3">
              <w:rPr>
                <w:rFonts w:cs="Calibri Light"/>
                <w:lang w:val="sq-AL"/>
              </w:rPr>
              <w:t xml:space="preserve">6. </w:t>
            </w:r>
            <w:r w:rsidR="00DC68A9" w:rsidRPr="00082FA3">
              <w:rPr>
                <w:rFonts w:cs="Calibri Light"/>
                <w:lang w:val="sq-AL"/>
              </w:rPr>
              <w:t>Deri në çfarë mase Strategjia ka qenë relevante në funksion të nevojave aktuale në Kosovë</w:t>
            </w:r>
            <w:r w:rsidRPr="00082FA3">
              <w:rPr>
                <w:rFonts w:cs="Calibri Light"/>
                <w:lang w:val="sq-AL"/>
              </w:rPr>
              <w:t>?</w:t>
            </w:r>
          </w:p>
          <w:p w14:paraId="0E020B9F" w14:textId="19E21A84" w:rsidR="00042D85" w:rsidRPr="00082FA3"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sq-AL"/>
              </w:rPr>
            </w:pPr>
            <w:r w:rsidRPr="00082FA3">
              <w:rPr>
                <w:rFonts w:cs="Calibri Light"/>
                <w:lang w:val="sq-AL"/>
              </w:rPr>
              <w:t xml:space="preserve">7. </w:t>
            </w:r>
            <w:r w:rsidR="00C33A88" w:rsidRPr="00082FA3">
              <w:rPr>
                <w:rFonts w:cs="Calibri Light"/>
                <w:lang w:val="sq-AL"/>
              </w:rPr>
              <w:t xml:space="preserve">Deri në çfarë mase Strategjia ka qenë e rëndësishme në aspektin e </w:t>
            </w:r>
            <w:r w:rsidR="00954620" w:rsidRPr="00082FA3">
              <w:rPr>
                <w:rFonts w:cs="Calibri Light"/>
                <w:lang w:val="sq-AL"/>
              </w:rPr>
              <w:t>përmbushjes</w:t>
            </w:r>
            <w:r w:rsidR="00C33A88" w:rsidRPr="00082FA3">
              <w:rPr>
                <w:rFonts w:cs="Calibri Light"/>
                <w:lang w:val="sq-AL"/>
              </w:rPr>
              <w:t xml:space="preserve"> së kërkesave për pranim në BE</w:t>
            </w:r>
            <w:r w:rsidRPr="00082FA3">
              <w:rPr>
                <w:rFonts w:cs="Calibri Light"/>
                <w:lang w:val="sq-AL"/>
              </w:rPr>
              <w:t>?</w:t>
            </w:r>
          </w:p>
        </w:tc>
      </w:tr>
      <w:tr w:rsidR="00042D85" w:rsidRPr="00082FA3" w14:paraId="5D65B243" w14:textId="77777777" w:rsidTr="001F3B3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7F7F7F" w:themeColor="text1" w:themeTint="80"/>
              <w:bottom w:val="single" w:sz="4" w:space="0" w:color="7F7F7F" w:themeColor="text1" w:themeTint="80"/>
              <w:right w:val="single" w:sz="4" w:space="0" w:color="auto"/>
            </w:tcBorders>
            <w:shd w:val="clear" w:color="auto" w:fill="C9FFFF"/>
          </w:tcPr>
          <w:p w14:paraId="18B75400" w14:textId="694FBD44" w:rsidR="00042D85" w:rsidRPr="00082FA3" w:rsidRDefault="006F3086" w:rsidP="0025779E">
            <w:pPr>
              <w:rPr>
                <w:rFonts w:cs="Calibri Light"/>
                <w:lang w:val="sq-AL"/>
              </w:rPr>
            </w:pPr>
            <w:r w:rsidRPr="00082FA3">
              <w:rPr>
                <w:rFonts w:cs="Calibri Light"/>
                <w:lang w:val="sq-AL"/>
              </w:rPr>
              <w:t>Koherenca</w:t>
            </w:r>
          </w:p>
        </w:tc>
        <w:tc>
          <w:tcPr>
            <w:tcW w:w="7712" w:type="dxa"/>
            <w:tcBorders>
              <w:left w:val="single" w:sz="4" w:space="0" w:color="auto"/>
            </w:tcBorders>
          </w:tcPr>
          <w:p w14:paraId="4C1E4783" w14:textId="4BAE9722" w:rsidR="00042D85" w:rsidRPr="00082FA3"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sq-AL"/>
              </w:rPr>
            </w:pPr>
            <w:r w:rsidRPr="00082FA3">
              <w:rPr>
                <w:rFonts w:cs="Calibri Light"/>
                <w:lang w:val="sq-AL"/>
              </w:rPr>
              <w:t xml:space="preserve">8. </w:t>
            </w:r>
            <w:r w:rsidR="00C33A88" w:rsidRPr="00082FA3">
              <w:rPr>
                <w:rFonts w:cs="Calibri Light"/>
                <w:lang w:val="sq-AL"/>
              </w:rPr>
              <w:t>A është Strategjia koherente me strategjitë dhe politikat e tjera qeveritare?</w:t>
            </w:r>
          </w:p>
          <w:p w14:paraId="40AA3951" w14:textId="13F1751A" w:rsidR="00042D85" w:rsidRPr="00082FA3"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sq-AL"/>
              </w:rPr>
            </w:pPr>
            <w:r w:rsidRPr="00082FA3">
              <w:rPr>
                <w:rFonts w:cs="Calibri Light"/>
                <w:lang w:val="sq-AL"/>
              </w:rPr>
              <w:t xml:space="preserve">9. </w:t>
            </w:r>
            <w:r w:rsidR="00C33A88" w:rsidRPr="00082FA3">
              <w:rPr>
                <w:rFonts w:cs="Calibri Light"/>
                <w:lang w:val="sq-AL"/>
              </w:rPr>
              <w:t>Deri në çfarë mase Strategjia është koherente me zhvillimet në kontekstin rajonal</w:t>
            </w:r>
            <w:r w:rsidR="004220BE" w:rsidRPr="00082FA3">
              <w:rPr>
                <w:rFonts w:cs="Calibri Light"/>
                <w:lang w:val="sq-AL"/>
              </w:rPr>
              <w:t xml:space="preserve">? </w:t>
            </w:r>
          </w:p>
        </w:tc>
      </w:tr>
    </w:tbl>
    <w:p w14:paraId="01C71EF1" w14:textId="77777777" w:rsidR="006168EC" w:rsidRPr="00082FA3" w:rsidRDefault="006168EC" w:rsidP="003450C4">
      <w:pPr>
        <w:rPr>
          <w:rFonts w:cs="Calibri Light"/>
          <w:lang w:val="sq-AL"/>
        </w:rPr>
      </w:pPr>
    </w:p>
    <w:p w14:paraId="4976E6A0" w14:textId="5C34E7D6" w:rsidR="00C33A88" w:rsidRPr="00082FA3" w:rsidRDefault="00C33A88" w:rsidP="003450C4">
      <w:pPr>
        <w:rPr>
          <w:rFonts w:cs="Calibri Light"/>
          <w:lang w:val="sq-AL"/>
        </w:rPr>
      </w:pPr>
      <w:r w:rsidRPr="00082FA3">
        <w:rPr>
          <w:rFonts w:cs="Calibri Light"/>
          <w:lang w:val="sq-AL"/>
        </w:rPr>
        <w:t xml:space="preserve">Ekziston një qasje e përzier në trajtimin e pyetjeve të vlerësimit (hulumtim në tavolinë - rishikimi i Raporteve të Këshillit, Matrica e Monitorimit dhe Raportimit, Raportet e </w:t>
      </w:r>
      <w:r w:rsidR="00F06D57" w:rsidRPr="00082FA3">
        <w:rPr>
          <w:rFonts w:cs="Calibri Light"/>
          <w:lang w:val="sq-AL"/>
        </w:rPr>
        <w:t>Komisionit Evropian</w:t>
      </w:r>
      <w:r w:rsidRPr="00082FA3">
        <w:rPr>
          <w:rFonts w:cs="Calibri Light"/>
          <w:lang w:val="sq-AL"/>
        </w:rPr>
        <w:t>, Konsultimet me Palët e Interesuara, dhe Analiza / Sinteza e Gjetjeve)</w:t>
      </w:r>
    </w:p>
    <w:p w14:paraId="75DE83DA" w14:textId="77777777" w:rsidR="006168EC" w:rsidRPr="00082FA3" w:rsidRDefault="006168EC" w:rsidP="003450C4">
      <w:pPr>
        <w:rPr>
          <w:rFonts w:cs="Calibri Light"/>
          <w:lang w:val="sq-AL"/>
        </w:rPr>
      </w:pPr>
    </w:p>
    <w:p w14:paraId="7E821730" w14:textId="7E084C7C" w:rsidR="00C33A88" w:rsidRPr="00082FA3" w:rsidRDefault="00C33A88" w:rsidP="002D373C">
      <w:pPr>
        <w:rPr>
          <w:lang w:val="sq-AL"/>
        </w:rPr>
      </w:pPr>
      <w:r w:rsidRPr="00082FA3">
        <w:rPr>
          <w:lang w:val="sq-AL"/>
        </w:rPr>
        <w:t>Megjithatë, ka disa kufizime për metodat e vlerësimit që dalin nga kufizimet e disponueshmërisë se të dhënave. Këto përfshijnë disponueshmërinë e kufizuar të masave bazë për të krahasuar ndryshimet në r</w:t>
      </w:r>
      <w:r w:rsidR="001C381A" w:rsidRPr="00082FA3">
        <w:rPr>
          <w:lang w:val="sq-AL"/>
        </w:rPr>
        <w:t>ezultatet kyçe gjatë periudhës t</w:t>
      </w:r>
      <w:r w:rsidRPr="00082FA3">
        <w:rPr>
          <w:lang w:val="sq-AL"/>
        </w:rPr>
        <w:t xml:space="preserve">ë mbuluar nga Strategjia, disponueshmëria e kufizuar e të dhënave të mbledhura sistematikisht në lidhje me matjen e disa treguesve të përfshirë në Planin e Veprimit (dhe të raportuara në Matricën e Monitorimit) , dhe një vonesë kohore në disponueshmërinë e statistikave që mbulojnë tërë periudhën e Strategjisë aktuale. Gjithashtu, ka pasur kufizime kohore për të </w:t>
      </w:r>
      <w:r w:rsidR="001C381A" w:rsidRPr="00082FA3">
        <w:rPr>
          <w:lang w:val="sq-AL"/>
        </w:rPr>
        <w:t>takuar</w:t>
      </w:r>
      <w:r w:rsidRPr="00082FA3">
        <w:rPr>
          <w:lang w:val="sq-AL"/>
        </w:rPr>
        <w:t xml:space="preserve"> përfaqësuesit përkatës të OSHC-ve dhe shumë pak të dhën</w:t>
      </w:r>
      <w:r w:rsidR="001C381A" w:rsidRPr="00082FA3">
        <w:rPr>
          <w:lang w:val="sq-AL"/>
        </w:rPr>
        <w:t xml:space="preserve">a në dispozicion për shpenzime </w:t>
      </w:r>
      <w:r w:rsidRPr="00082FA3">
        <w:rPr>
          <w:lang w:val="sq-AL"/>
        </w:rPr>
        <w:t xml:space="preserve">buxhetore për zbatimin e Strategjisë dhe Planit të Veprimit. Për më tepër, një </w:t>
      </w:r>
      <w:r w:rsidR="001C381A" w:rsidRPr="00082FA3">
        <w:rPr>
          <w:lang w:val="sq-AL"/>
        </w:rPr>
        <w:t>sistem</w:t>
      </w:r>
      <w:r w:rsidRPr="00082FA3">
        <w:rPr>
          <w:lang w:val="sq-AL"/>
        </w:rPr>
        <w:t xml:space="preserve"> të vlerësimit </w:t>
      </w:r>
      <w:r w:rsidR="001C381A" w:rsidRPr="00082FA3">
        <w:rPr>
          <w:lang w:val="sq-AL"/>
        </w:rPr>
        <w:t xml:space="preserve">me drita trafiku me tri shkallë </w:t>
      </w:r>
      <w:r w:rsidRPr="00082FA3">
        <w:rPr>
          <w:lang w:val="sq-AL"/>
        </w:rPr>
        <w:t xml:space="preserve">nuk lë shumë hapësirë për diferencim dhe nuk duhet të shihet </w:t>
      </w:r>
      <w:r w:rsidR="001C381A" w:rsidRPr="00082FA3">
        <w:rPr>
          <w:lang w:val="sq-AL"/>
        </w:rPr>
        <w:t>e</w:t>
      </w:r>
      <w:r w:rsidRPr="00082FA3">
        <w:rPr>
          <w:lang w:val="sq-AL"/>
        </w:rPr>
        <w:t xml:space="preserve"> izol</w:t>
      </w:r>
      <w:r w:rsidR="001C381A" w:rsidRPr="00082FA3">
        <w:rPr>
          <w:lang w:val="sq-AL"/>
        </w:rPr>
        <w:t>uar</w:t>
      </w:r>
      <w:r w:rsidRPr="00082FA3">
        <w:rPr>
          <w:lang w:val="sq-AL"/>
        </w:rPr>
        <w:t xml:space="preserve">. Ajo kërkon informata </w:t>
      </w:r>
      <w:r w:rsidR="001C381A" w:rsidRPr="00082FA3">
        <w:rPr>
          <w:lang w:val="sq-AL"/>
        </w:rPr>
        <w:t>plotësuese kualitative</w:t>
      </w:r>
      <w:r w:rsidRPr="00082FA3">
        <w:rPr>
          <w:lang w:val="sq-AL"/>
        </w:rPr>
        <w:t>.</w:t>
      </w:r>
    </w:p>
    <w:p w14:paraId="199B901D" w14:textId="77777777" w:rsidR="002D373C" w:rsidRPr="00082FA3" w:rsidRDefault="002D373C" w:rsidP="006168EC">
      <w:pPr>
        <w:rPr>
          <w:lang w:val="sq-AL"/>
        </w:rPr>
      </w:pPr>
    </w:p>
    <w:p w14:paraId="71777E03" w14:textId="28A932A2" w:rsidR="001C381A" w:rsidRPr="00082FA3" w:rsidRDefault="001C381A" w:rsidP="00711C11">
      <w:pPr>
        <w:rPr>
          <w:lang w:val="sq-AL"/>
        </w:rPr>
      </w:pPr>
      <w:r w:rsidRPr="00082FA3">
        <w:rPr>
          <w:lang w:val="sq-AL"/>
        </w:rPr>
        <w:t xml:space="preserve">Për të adresuar këto kufizime, vlerësimi do të përpiqet të mbledhë të dhënat më të mira statistikore të mundshme dhe të interpretojë këtë në dritën e të dhënave cilësore që do të mblidhen. Përdorimi i provave nga burime të ndryshme në këtë mënyrë do të ofrojë mundësi për të vërtetuar informacionin dhe për të vlerësuar peshën e provave. Qasja e vlerësimit është bazuar në njohjen se është shumë e vështirë t'i atribuohen trendet e observimit dhe zhvillimet në fushën e bashkëpunimit midis qeverisë dhe shoqërisë civile vetëm në Strategjinë dhe Planin e Veprimit të Qeverisë. Duhet të merren parasysh edhe një sërë faktorësh kombëtarë, </w:t>
      </w:r>
      <w:r w:rsidR="00F25415" w:rsidRPr="00082FA3">
        <w:rPr>
          <w:lang w:val="sq-AL"/>
        </w:rPr>
        <w:t>të BE-së</w:t>
      </w:r>
      <w:r w:rsidRPr="00082FA3">
        <w:rPr>
          <w:lang w:val="sq-AL"/>
        </w:rPr>
        <w:t xml:space="preserve"> dhe </w:t>
      </w:r>
      <w:r w:rsidR="00F25415" w:rsidRPr="00082FA3">
        <w:rPr>
          <w:lang w:val="sq-AL"/>
        </w:rPr>
        <w:t xml:space="preserve">faktorë </w:t>
      </w:r>
      <w:r w:rsidRPr="00082FA3">
        <w:rPr>
          <w:lang w:val="sq-AL"/>
        </w:rPr>
        <w:t xml:space="preserve">ndërkombëtarë. </w:t>
      </w:r>
      <w:r w:rsidR="00F25415" w:rsidRPr="00082FA3">
        <w:rPr>
          <w:lang w:val="sq-AL"/>
        </w:rPr>
        <w:t>Pra</w:t>
      </w:r>
      <w:r w:rsidRPr="00082FA3">
        <w:rPr>
          <w:lang w:val="sq-AL"/>
        </w:rPr>
        <w:t>, vlerësimi duhet të kontribuojë gjithashtu në kuptimin e kontributit që St</w:t>
      </w:r>
      <w:r w:rsidR="00F25415" w:rsidRPr="00082FA3">
        <w:rPr>
          <w:lang w:val="sq-AL"/>
        </w:rPr>
        <w:t xml:space="preserve">rategjia dhe Plani i Veprimit kanë bërë në </w:t>
      </w:r>
      <w:r w:rsidRPr="00082FA3">
        <w:rPr>
          <w:lang w:val="sq-AL"/>
        </w:rPr>
        <w:t>zhvillim</w:t>
      </w:r>
      <w:r w:rsidR="00F25415" w:rsidRPr="00082FA3">
        <w:rPr>
          <w:lang w:val="sq-AL"/>
        </w:rPr>
        <w:t>in</w:t>
      </w:r>
      <w:r w:rsidRPr="00082FA3">
        <w:rPr>
          <w:lang w:val="sq-AL"/>
        </w:rPr>
        <w:t xml:space="preserve"> në</w:t>
      </w:r>
      <w:r w:rsidR="00F25415" w:rsidRPr="00082FA3">
        <w:rPr>
          <w:lang w:val="sq-AL"/>
        </w:rPr>
        <w:t xml:space="preserve"> fushën e</w:t>
      </w:r>
      <w:r w:rsidRPr="00082FA3">
        <w:rPr>
          <w:lang w:val="sq-AL"/>
        </w:rPr>
        <w:t xml:space="preserve"> politik</w:t>
      </w:r>
      <w:r w:rsidR="00F25415" w:rsidRPr="00082FA3">
        <w:rPr>
          <w:lang w:val="sq-AL"/>
        </w:rPr>
        <w:t>ave të</w:t>
      </w:r>
      <w:r w:rsidRPr="00082FA3">
        <w:rPr>
          <w:lang w:val="sq-AL"/>
        </w:rPr>
        <w:t xml:space="preserve"> shoqërisë civile, në kombinim me faktorë të tjerë. </w:t>
      </w:r>
      <w:r w:rsidR="00F25415" w:rsidRPr="00082FA3">
        <w:rPr>
          <w:lang w:val="sq-AL"/>
        </w:rPr>
        <w:t>Pra</w:t>
      </w:r>
      <w:r w:rsidRPr="00082FA3">
        <w:rPr>
          <w:lang w:val="sq-AL"/>
        </w:rPr>
        <w:t xml:space="preserve">, </w:t>
      </w:r>
      <w:r w:rsidR="00F25415" w:rsidRPr="00082FA3">
        <w:rPr>
          <w:lang w:val="sq-AL"/>
        </w:rPr>
        <w:t xml:space="preserve">vlerësimi duhet që </w:t>
      </w:r>
      <w:r w:rsidR="00954620" w:rsidRPr="00082FA3">
        <w:rPr>
          <w:lang w:val="sq-AL"/>
        </w:rPr>
        <w:t>po ashtu</w:t>
      </w:r>
      <w:r w:rsidR="00F25415" w:rsidRPr="00082FA3">
        <w:rPr>
          <w:lang w:val="sq-AL"/>
        </w:rPr>
        <w:t xml:space="preserve"> të kontribuojë </w:t>
      </w:r>
      <w:r w:rsidRPr="00082FA3">
        <w:rPr>
          <w:lang w:val="sq-AL"/>
        </w:rPr>
        <w:t xml:space="preserve">vlerësimi në lidhje me pyetjet rreth ndikimit të Strategjisë janë </w:t>
      </w:r>
      <w:r w:rsidR="00EE0D9F" w:rsidRPr="00082FA3">
        <w:rPr>
          <w:lang w:val="sq-AL"/>
        </w:rPr>
        <w:t xml:space="preserve">domosdoshmërisht të përkohshme. </w:t>
      </w:r>
      <w:r w:rsidR="00A617AE" w:rsidRPr="00082FA3">
        <w:rPr>
          <w:lang w:val="sq-AL"/>
        </w:rPr>
        <w:t>Megjithatë, të gjitha konkluzionet e vlerësimit në lidhje me pyetjet rreth ndikimit të Stra</w:t>
      </w:r>
      <w:r w:rsidR="00BE1798" w:rsidRPr="00082FA3">
        <w:rPr>
          <w:lang w:val="sq-AL"/>
        </w:rPr>
        <w:t>tegjisë janë domosdoshmërisht tentative</w:t>
      </w:r>
      <w:r w:rsidR="00A617AE" w:rsidRPr="00082FA3">
        <w:rPr>
          <w:lang w:val="sq-AL"/>
        </w:rPr>
        <w:t>.</w:t>
      </w:r>
    </w:p>
    <w:p w14:paraId="1405B844" w14:textId="26C1EDF7" w:rsidR="003450C4" w:rsidRPr="00082FA3" w:rsidRDefault="003450C4" w:rsidP="00E4322D">
      <w:pPr>
        <w:pStyle w:val="Heading2"/>
        <w:rPr>
          <w:rFonts w:cs="Calibri Light"/>
          <w:lang w:val="sq-AL"/>
        </w:rPr>
      </w:pPr>
      <w:bookmarkStart w:id="11" w:name="_Toc497820344"/>
      <w:r w:rsidRPr="00082FA3">
        <w:rPr>
          <w:rFonts w:cs="Calibri Light"/>
          <w:lang w:val="sq-AL"/>
        </w:rPr>
        <w:t>1.</w:t>
      </w:r>
      <w:r w:rsidR="004C1170" w:rsidRPr="00082FA3">
        <w:rPr>
          <w:rFonts w:cs="Calibri Light"/>
          <w:lang w:val="sq-AL"/>
        </w:rPr>
        <w:t>5</w:t>
      </w:r>
      <w:r w:rsidRPr="00082FA3">
        <w:rPr>
          <w:rFonts w:cs="Calibri Light"/>
          <w:lang w:val="sq-AL"/>
        </w:rPr>
        <w:t>. Stru</w:t>
      </w:r>
      <w:r w:rsidR="00BE1798" w:rsidRPr="00082FA3">
        <w:rPr>
          <w:rFonts w:cs="Calibri Light"/>
          <w:lang w:val="sq-AL"/>
        </w:rPr>
        <w:t>ktura e këtij</w:t>
      </w:r>
      <w:r w:rsidRPr="00082FA3">
        <w:rPr>
          <w:rFonts w:cs="Calibri Light"/>
          <w:lang w:val="sq-AL"/>
        </w:rPr>
        <w:t xml:space="preserve"> </w:t>
      </w:r>
      <w:r w:rsidR="007562F7" w:rsidRPr="00082FA3">
        <w:rPr>
          <w:rFonts w:cs="Calibri Light"/>
          <w:lang w:val="sq-AL"/>
        </w:rPr>
        <w:t>R</w:t>
      </w:r>
      <w:r w:rsidR="00BE1798" w:rsidRPr="00082FA3">
        <w:rPr>
          <w:rFonts w:cs="Calibri Light"/>
          <w:lang w:val="sq-AL"/>
        </w:rPr>
        <w:t>a</w:t>
      </w:r>
      <w:r w:rsidRPr="00082FA3">
        <w:rPr>
          <w:rFonts w:cs="Calibri Light"/>
          <w:lang w:val="sq-AL"/>
        </w:rPr>
        <w:t>port</w:t>
      </w:r>
      <w:r w:rsidR="00BE1798" w:rsidRPr="00082FA3">
        <w:rPr>
          <w:rFonts w:cs="Calibri Light"/>
          <w:lang w:val="sq-AL"/>
        </w:rPr>
        <w:t>i</w:t>
      </w:r>
      <w:bookmarkEnd w:id="11"/>
      <w:r w:rsidR="00D807FF" w:rsidRPr="00082FA3">
        <w:rPr>
          <w:rFonts w:cs="Calibri Light"/>
          <w:lang w:val="sq-AL"/>
        </w:rPr>
        <w:t xml:space="preserve"> </w:t>
      </w:r>
    </w:p>
    <w:p w14:paraId="66C17241" w14:textId="7A2012C6" w:rsidR="00BE1798" w:rsidRPr="00082FA3" w:rsidRDefault="00BE1798" w:rsidP="00C24480">
      <w:pPr>
        <w:rPr>
          <w:lang w:val="sq-AL"/>
        </w:rPr>
      </w:pPr>
      <w:r w:rsidRPr="00082FA3">
        <w:rPr>
          <w:lang w:val="sq-AL"/>
        </w:rPr>
        <w:t xml:space="preserve">Struktura e raportit është e ndarë në pesë seksione. Seksioni i parë mbulon vlerësimin e efektivitetit të secilit objektiv strategjik. Në këtë seksion diskutohen rezultatet, </w:t>
      </w:r>
      <w:r w:rsidR="00954620" w:rsidRPr="00082FA3">
        <w:rPr>
          <w:lang w:val="sq-AL"/>
        </w:rPr>
        <w:t>përfundimet</w:t>
      </w:r>
      <w:r w:rsidRPr="00082FA3">
        <w:rPr>
          <w:lang w:val="sq-AL"/>
        </w:rPr>
        <w:t xml:space="preserve"> dhe ndikimet e Strategjisë. Këto masa paraqesin rezultatet përfundimtare në përqindje bazuar në Matricën e Monitorimit dhe Raportimit të qeverisë - nëse veprimet e ndërmarra përmbushin qëllimet / objektivat e synuara. Seksioni i dytë diskuton nëse zbatimi i Strategjisë ka qenë efikas sa i përket nivelit të burimeve financiare dhe njerëzore të dhëna nga qeveria. Seksioni i tretë diskuton se si Strategjia është e zbatueshme për nevojat e vendit dhe kërkesat për pranim në BE - shumica e asaj që raportohet nga Komisioni Evropian (KE) në shumë raporte të tilla si Raporti i Progresit i Bashkimit Evropian (BE). Në pjesën e katërt, diskutohen një numër i dokumenteve dhe strategjive të politikave që lidhen me administratën publike dhe si ato ndërlidhen me Strategjinë. Në fund, në pjesën e pestë, ka një përmbledhje të gjetjeve kryesore dhe rekomandimeve që duhen marrë në konsideratë për hartimin e Strategjisë së re.</w:t>
      </w:r>
    </w:p>
    <w:p w14:paraId="73427A19" w14:textId="77777777" w:rsidR="00F06D57" w:rsidRPr="00082FA3" w:rsidRDefault="00F06D57">
      <w:pPr>
        <w:spacing w:after="200" w:line="276" w:lineRule="auto"/>
        <w:contextualSpacing w:val="0"/>
        <w:jc w:val="left"/>
        <w:rPr>
          <w:rFonts w:eastAsiaTheme="majorEastAsia" w:cs="Calibri Light"/>
          <w:color w:val="0079A4"/>
          <w:sz w:val="28"/>
          <w:szCs w:val="32"/>
          <w:lang w:val="sq-AL"/>
        </w:rPr>
      </w:pPr>
      <w:r w:rsidRPr="00082FA3">
        <w:rPr>
          <w:rFonts w:cs="Calibri Light"/>
          <w:lang w:val="sq-AL"/>
        </w:rPr>
        <w:lastRenderedPageBreak/>
        <w:br w:type="page"/>
      </w:r>
    </w:p>
    <w:p w14:paraId="422D3A8C" w14:textId="74AEDC33" w:rsidR="003450C4" w:rsidRPr="00082FA3" w:rsidRDefault="00303927" w:rsidP="00C25FBB">
      <w:pPr>
        <w:pStyle w:val="Heading1"/>
        <w:rPr>
          <w:rFonts w:cs="Calibri Light"/>
          <w:lang w:val="sq-AL"/>
        </w:rPr>
      </w:pPr>
      <w:bookmarkStart w:id="12" w:name="_Toc497820345"/>
      <w:r w:rsidRPr="00082FA3">
        <w:rPr>
          <w:rFonts w:cs="Calibri Light"/>
          <w:lang w:val="sq-AL"/>
        </w:rPr>
        <w:lastRenderedPageBreak/>
        <w:t xml:space="preserve">2. </w:t>
      </w:r>
      <w:r w:rsidR="00BE1798" w:rsidRPr="00082FA3">
        <w:rPr>
          <w:rFonts w:cs="Calibri Light"/>
          <w:lang w:val="sq-AL"/>
        </w:rPr>
        <w:t xml:space="preserve">Vlerësimi i </w:t>
      </w:r>
      <w:r w:rsidRPr="00082FA3">
        <w:rPr>
          <w:rFonts w:cs="Calibri Light"/>
          <w:lang w:val="sq-AL"/>
        </w:rPr>
        <w:t>Ef</w:t>
      </w:r>
      <w:r w:rsidR="00BE1798" w:rsidRPr="00082FA3">
        <w:rPr>
          <w:rFonts w:cs="Calibri Light"/>
          <w:lang w:val="sq-AL"/>
        </w:rPr>
        <w:t>ektivitetit</w:t>
      </w:r>
      <w:bookmarkEnd w:id="12"/>
    </w:p>
    <w:p w14:paraId="5C2BEFC3" w14:textId="249476AA" w:rsidR="00B56016" w:rsidRPr="00082FA3" w:rsidRDefault="00D1605C" w:rsidP="007752F1">
      <w:pPr>
        <w:pBdr>
          <w:bottom w:val="single" w:sz="4" w:space="1" w:color="auto"/>
        </w:pBdr>
        <w:shd w:val="clear" w:color="auto" w:fill="B7FFFF"/>
        <w:rPr>
          <w:lang w:val="sq-AL"/>
        </w:rPr>
      </w:pPr>
      <w:r w:rsidRPr="00082FA3">
        <w:rPr>
          <w:lang w:val="sq-AL"/>
        </w:rPr>
        <w:t>Deri në çfarë mase janë përmbushur objektivat dhe veprimet e Strategjisë dhe çfarë ka qenë ndikimi i tyre</w:t>
      </w:r>
      <w:r w:rsidR="00B56016" w:rsidRPr="00082FA3">
        <w:rPr>
          <w:lang w:val="sq-AL"/>
        </w:rPr>
        <w:t xml:space="preserve">? </w:t>
      </w:r>
    </w:p>
    <w:p w14:paraId="1C9A030E" w14:textId="7D7A2969" w:rsidR="00B56016" w:rsidRPr="00082FA3" w:rsidRDefault="00B56016" w:rsidP="00B56016">
      <w:pPr>
        <w:rPr>
          <w:lang w:val="sq-AL"/>
        </w:rPr>
      </w:pPr>
    </w:p>
    <w:p w14:paraId="6E524D0F" w14:textId="4F249ED7" w:rsidR="00D33ADD" w:rsidRPr="00082FA3" w:rsidRDefault="00D33ADD" w:rsidP="00B56016">
      <w:pPr>
        <w:rPr>
          <w:rFonts w:cs="Calibri Light"/>
          <w:lang w:val="sq-AL"/>
        </w:rPr>
      </w:pPr>
      <w:r w:rsidRPr="00082FA3">
        <w:rPr>
          <w:rFonts w:cs="Calibri Light"/>
          <w:lang w:val="sq-AL"/>
        </w:rPr>
        <w:t xml:space="preserve">Ky seksion jep një pasqyrë të progresit të raportuar në Matricën e Monitorimit </w:t>
      </w:r>
      <w:r w:rsidRPr="00082FA3">
        <w:rPr>
          <w:rFonts w:cs="Calibri Light"/>
          <w:b/>
          <w:lang w:val="sq-AL"/>
        </w:rPr>
        <w:t xml:space="preserve">(e përditësuar në shtator 2017) </w:t>
      </w:r>
      <w:r w:rsidRPr="00082FA3">
        <w:rPr>
          <w:rFonts w:cs="Calibri Light"/>
          <w:lang w:val="sq-AL"/>
        </w:rPr>
        <w:t>në lidhje me zbatimin e Strategjisë së Qeverisë për Bashkëpunimin me Shoqërinë Civile (2013-2017). Kjo bëhet duke vlerësuar objektivat strategjike individuale dhe veprimet korresponduese të ndërmarra për të justifikuar misionin e Strategjisë. Analiza e vlerësimit është e përshtatur nga perspektiva e Zyrës për Qeverisje të Mirë (ZQM) dhe aktivitetet e saj të organizuara në bashkëpunim të përbashkët me palët e tjera të interesit për të përmbushur objektivat strategjike. Për të siguruar që progresi i matur është i saktë dhe i vlefshëm, janë konsultuar burime shtesë, megjithëse ato janë relativisht më pak të përditësuara, pasi ato përbëjnë të dhëna për Strategjinë vetëm deri në fund të vitit 2016.</w:t>
      </w:r>
    </w:p>
    <w:p w14:paraId="07DF7DA2" w14:textId="3DF2651F" w:rsidR="003450C4" w:rsidRPr="00082FA3" w:rsidRDefault="003450C4" w:rsidP="00C25FBB">
      <w:pPr>
        <w:pStyle w:val="Heading2"/>
        <w:rPr>
          <w:rFonts w:cs="Calibri Light"/>
          <w:lang w:val="sq-AL"/>
        </w:rPr>
      </w:pPr>
      <w:bookmarkStart w:id="13" w:name="_Toc497820346"/>
      <w:r w:rsidRPr="00082FA3">
        <w:rPr>
          <w:rFonts w:cs="Calibri Light"/>
          <w:lang w:val="sq-AL"/>
        </w:rPr>
        <w:t xml:space="preserve">2.1. </w:t>
      </w:r>
      <w:r w:rsidR="00D33ADD" w:rsidRPr="00082FA3">
        <w:rPr>
          <w:rFonts w:cs="Calibri Light"/>
          <w:lang w:val="sq-AL"/>
        </w:rPr>
        <w:t>Zbatimi i Objektivave dhe Veprimeve në Strategjinë dhe Planin e Veprimit</w:t>
      </w:r>
      <w:bookmarkEnd w:id="13"/>
    </w:p>
    <w:p w14:paraId="5C17281B" w14:textId="1E9C5D06" w:rsidR="00D33ADD" w:rsidRPr="00082FA3" w:rsidRDefault="00D33ADD" w:rsidP="00057756">
      <w:pPr>
        <w:rPr>
          <w:rFonts w:cs="Calibri Light"/>
          <w:lang w:val="sq-AL"/>
        </w:rPr>
      </w:pPr>
      <w:r w:rsidRPr="00082FA3">
        <w:rPr>
          <w:rFonts w:cs="Calibri Light"/>
          <w:lang w:val="sq-AL"/>
        </w:rPr>
        <w:t xml:space="preserve">Zbatimi i Strategjisë ka arritur një shkallë progresi të përgjithshëm prej vetëm </w:t>
      </w:r>
      <w:r w:rsidRPr="00082FA3">
        <w:rPr>
          <w:rFonts w:cs="Calibri Light"/>
          <w:b/>
          <w:lang w:val="sq-AL"/>
        </w:rPr>
        <w:t>73 për qind</w:t>
      </w:r>
      <w:r w:rsidRPr="00082FA3">
        <w:rPr>
          <w:rFonts w:cs="Calibri Light"/>
          <w:lang w:val="sq-AL"/>
        </w:rPr>
        <w:t>. Pjesa më e madhe e progresit është arritur në 2016 dhe 2017. Fillimisht, aplikimi i tij filloi një vit më vonë pas hyrjes në fuqi</w:t>
      </w:r>
      <w:r w:rsidRPr="00082FA3">
        <w:rPr>
          <w:rStyle w:val="FootnoteReference"/>
          <w:rFonts w:cs="Calibri Light"/>
          <w:lang w:val="sq-AL"/>
        </w:rPr>
        <w:footnoteReference w:id="13"/>
      </w:r>
      <w:r w:rsidRPr="00082FA3">
        <w:rPr>
          <w:rFonts w:cs="Calibri Light"/>
          <w:lang w:val="sq-AL"/>
        </w:rPr>
        <w:t xml:space="preserve">  dhe deri në vitin 2015 është zhvilluar Plani i Veprimit, sipas të cilit aktivitetet e planifikuara të 2013-2014 duhej të ishin zhvendosur dhe përshtatur. Në fund të vitit 2014 është formuar Këshilli dhe Grupet e Punës për secilin objektiv strategjik. Duke pasur parasysh mungesën e burimeve financiare dhe njerëzore, Strategjia nisi ritmin e gabuar por në kohën e duhur u bë më efektive, kryesisht si rezultat i mbështetjes së jashtme të ofruar nga projektet e financuara nga KE. Informata të hollësishme rreth shkallës së progresit për secilin objektiv strategjik individual </w:t>
      </w:r>
      <w:r w:rsidR="0013589E" w:rsidRPr="00082FA3">
        <w:rPr>
          <w:rFonts w:cs="Calibri Light"/>
          <w:lang w:val="sq-AL"/>
        </w:rPr>
        <w:t xml:space="preserve">do të </w:t>
      </w:r>
      <w:r w:rsidRPr="00082FA3">
        <w:rPr>
          <w:rFonts w:cs="Calibri Light"/>
          <w:lang w:val="sq-AL"/>
        </w:rPr>
        <w:t>paraqiten në seksionet e mëvonshme.</w:t>
      </w:r>
    </w:p>
    <w:p w14:paraId="686B9C66" w14:textId="47EC827D" w:rsidR="002242DD" w:rsidRPr="00082FA3" w:rsidRDefault="00303927" w:rsidP="002242DD">
      <w:pPr>
        <w:pStyle w:val="Heading2"/>
        <w:rPr>
          <w:rFonts w:cs="Calibri Light"/>
          <w:lang w:val="sq-AL"/>
        </w:rPr>
      </w:pPr>
      <w:bookmarkStart w:id="14" w:name="_Toc497820347"/>
      <w:r w:rsidRPr="00082FA3">
        <w:rPr>
          <w:rFonts w:cs="Calibri Light"/>
          <w:lang w:val="sq-AL"/>
        </w:rPr>
        <w:t xml:space="preserve">2.2. </w:t>
      </w:r>
      <w:r w:rsidR="0013589E" w:rsidRPr="00082FA3">
        <w:rPr>
          <w:rFonts w:cs="Calibri Light"/>
          <w:lang w:val="sq-AL"/>
        </w:rPr>
        <w:t>Rezultatet e Strategjisë dhe Planit të Veprimit</w:t>
      </w:r>
      <w:bookmarkEnd w:id="14"/>
    </w:p>
    <w:p w14:paraId="5E265D4F" w14:textId="374A1F77" w:rsidR="0013589E" w:rsidRPr="00082FA3" w:rsidRDefault="0013589E" w:rsidP="002242DD">
      <w:pPr>
        <w:rPr>
          <w:lang w:val="sq-AL"/>
        </w:rPr>
      </w:pPr>
      <w:r w:rsidRPr="00082FA3">
        <w:rPr>
          <w:lang w:val="sq-AL"/>
        </w:rPr>
        <w:t xml:space="preserve">Matrica e Monitorimit jep një përmbledhje të progresit të bërë sa i përket zbatimit të Strategjisë. Prandaj, ndërkohë që </w:t>
      </w:r>
      <w:r w:rsidRPr="00082FA3">
        <w:rPr>
          <w:i/>
          <w:lang w:val="sq-AL"/>
        </w:rPr>
        <w:t>përfshirja e shoqërisë civile në politikëberje</w:t>
      </w:r>
      <w:r w:rsidRPr="00082FA3">
        <w:rPr>
          <w:lang w:val="sq-AL"/>
        </w:rPr>
        <w:t xml:space="preserve"> ka arritur objektivin me </w:t>
      </w:r>
      <w:r w:rsidRPr="00082FA3">
        <w:rPr>
          <w:b/>
          <w:lang w:val="sq-AL"/>
        </w:rPr>
        <w:t>90 për qind</w:t>
      </w:r>
      <w:r w:rsidRPr="00082FA3">
        <w:rPr>
          <w:lang w:val="sq-AL"/>
        </w:rPr>
        <w:t xml:space="preserve">, fushat e mbetura të politikave kanë rënie në aspektin e progresit. Zbatimi i Strategjisë për krijimin e një sistemi të kontraktimit të shërbimeve publike për shoqërinë civile ka arritur vetëm në </w:t>
      </w:r>
      <w:r w:rsidRPr="00082FA3">
        <w:rPr>
          <w:b/>
          <w:lang w:val="sq-AL"/>
        </w:rPr>
        <w:t>50 përqind</w:t>
      </w:r>
      <w:r w:rsidRPr="00082FA3">
        <w:rPr>
          <w:lang w:val="sq-AL"/>
        </w:rPr>
        <w:t xml:space="preserve">. Nivelet e zbatimit janë raportuar pak më të larta për objektivat ose fushat prioritare </w:t>
      </w:r>
      <w:r w:rsidRPr="00082FA3">
        <w:rPr>
          <w:i/>
          <w:lang w:val="sq-AL"/>
        </w:rPr>
        <w:t>për krijimin e një sistemi të financimit publik të shoqërisë civile</w:t>
      </w:r>
      <w:r w:rsidRPr="00082FA3">
        <w:rPr>
          <w:lang w:val="sq-AL"/>
        </w:rPr>
        <w:t xml:space="preserve"> </w:t>
      </w:r>
      <w:r w:rsidRPr="00082FA3">
        <w:rPr>
          <w:b/>
          <w:lang w:val="sq-AL"/>
        </w:rPr>
        <w:t>(70 përqind)</w:t>
      </w:r>
      <w:r w:rsidRPr="00082FA3">
        <w:rPr>
          <w:lang w:val="sq-AL"/>
        </w:rPr>
        <w:t xml:space="preserve"> dhe </w:t>
      </w:r>
      <w:r w:rsidRPr="00082FA3">
        <w:rPr>
          <w:i/>
          <w:lang w:val="sq-AL"/>
        </w:rPr>
        <w:t>promovimin e një qasjeje të integruar për vullnetarizmin</w:t>
      </w:r>
      <w:r w:rsidRPr="00082FA3">
        <w:rPr>
          <w:lang w:val="sq-AL"/>
        </w:rPr>
        <w:t xml:space="preserve"> </w:t>
      </w:r>
      <w:r w:rsidRPr="00082FA3">
        <w:rPr>
          <w:b/>
          <w:lang w:val="sq-AL"/>
        </w:rPr>
        <w:t xml:space="preserve">(83 përqind)! </w:t>
      </w:r>
      <w:r w:rsidRPr="00082FA3">
        <w:rPr>
          <w:lang w:val="sq-AL"/>
        </w:rPr>
        <w:t>Referojuni figurës më poshtë për një prezantim vizual. Këto terma në përqindje janë kontestuar nga koordinatorët e Grupeve Punuese nga radhët e shoqërisë civile. Sipas tyre, nivelet e zbatimit të Strategjisë nuk mund të vendosen në përqindje pasi që do të kufizonin matjet vetëm në sasi. Nëse kualiteti dhe impakti përveç efikasitetit dhe masave të tjera të merren parasysh, këto nivele do të bien shumë më tepër, siç tregohet më poshtë.</w:t>
      </w:r>
    </w:p>
    <w:p w14:paraId="31A5E376" w14:textId="77777777" w:rsidR="00F06D57" w:rsidRPr="00082FA3" w:rsidRDefault="00F06D57" w:rsidP="002242DD">
      <w:pPr>
        <w:rPr>
          <w:lang w:val="sq-AL"/>
        </w:rPr>
      </w:pPr>
    </w:p>
    <w:p w14:paraId="55718089" w14:textId="7E15E921" w:rsidR="00303927" w:rsidRPr="00082FA3" w:rsidRDefault="00F06D57" w:rsidP="00F06D57">
      <w:pPr>
        <w:jc w:val="center"/>
        <w:rPr>
          <w:rFonts w:cs="Calibri Light"/>
          <w:lang w:val="sq-AL"/>
        </w:rPr>
      </w:pPr>
      <w:r w:rsidRPr="00082FA3">
        <w:rPr>
          <w:rFonts w:cs="Calibri Light"/>
          <w:noProof/>
          <w:lang w:val="en-US"/>
        </w:rPr>
        <mc:AlternateContent>
          <mc:Choice Requires="wps">
            <w:drawing>
              <wp:anchor distT="0" distB="0" distL="114300" distR="114300" simplePos="0" relativeHeight="251703296" behindDoc="0" locked="0" layoutInCell="1" allowOverlap="1" wp14:anchorId="09EB030D" wp14:editId="1B33BF0A">
                <wp:simplePos x="0" y="0"/>
                <wp:positionH relativeFrom="column">
                  <wp:posOffset>5091430</wp:posOffset>
                </wp:positionH>
                <wp:positionV relativeFrom="paragraph">
                  <wp:posOffset>740541</wp:posOffset>
                </wp:positionV>
                <wp:extent cx="291932" cy="196770"/>
                <wp:effectExtent l="0" t="9525" r="41910" b="41910"/>
                <wp:wrapNone/>
                <wp:docPr id="23" name="Arrow: Striped Right 23"/>
                <wp:cNvGraphicFramePr/>
                <a:graphic xmlns:a="http://schemas.openxmlformats.org/drawingml/2006/main">
                  <a:graphicData uri="http://schemas.microsoft.com/office/word/2010/wordprocessingShape">
                    <wps:wsp>
                      <wps:cNvSpPr/>
                      <wps:spPr>
                        <a:xfrm rot="5400000">
                          <a:off x="0" y="0"/>
                          <a:ext cx="291932" cy="196770"/>
                        </a:xfrm>
                        <a:prstGeom prst="strip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0177F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3" o:spid="_x0000_s1026" type="#_x0000_t93" style="position:absolute;margin-left:400.9pt;margin-top:58.3pt;width:23pt;height:15.5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" adj="14321" fillcolor="red" strokecolor="red" strokeweight="2pt"/>
            </w:pict>
          </mc:Fallback>
        </mc:AlternateContent>
      </w:r>
      <w:r w:rsidRPr="00082FA3">
        <w:rPr>
          <w:rFonts w:cs="Calibri Light"/>
          <w:noProof/>
          <w:lang w:val="en-US"/>
        </w:rPr>
        <mc:AlternateContent>
          <mc:Choice Requires="wps">
            <w:drawing>
              <wp:anchor distT="0" distB="0" distL="114300" distR="114300" simplePos="0" relativeHeight="251702272" behindDoc="0" locked="0" layoutInCell="1" allowOverlap="1" wp14:anchorId="4C2DBBB7" wp14:editId="4C7B5D83">
                <wp:simplePos x="0" y="0"/>
                <wp:positionH relativeFrom="column">
                  <wp:posOffset>1413510</wp:posOffset>
                </wp:positionH>
                <wp:positionV relativeFrom="paragraph">
                  <wp:posOffset>1131984</wp:posOffset>
                </wp:positionV>
                <wp:extent cx="3431899"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31899"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90A801" id="Straight Connector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89.15pt" to="381.5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" strokecolor="#c0504d [3205]">
                <v:stroke dashstyle="dash"/>
              </v:line>
            </w:pict>
          </mc:Fallback>
        </mc:AlternateContent>
      </w:r>
      <w:r w:rsidRPr="00082FA3">
        <w:rPr>
          <w:noProof/>
          <w:lang w:val="en-US"/>
        </w:rPr>
        <w:drawing>
          <wp:inline distT="0" distB="0" distL="0" distR="0" wp14:anchorId="0F40008D" wp14:editId="136C2B33">
            <wp:extent cx="5230649" cy="1971872"/>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44309" cy="1977022"/>
                    </a:xfrm>
                    <a:prstGeom prst="rect">
                      <a:avLst/>
                    </a:prstGeom>
                  </pic:spPr>
                </pic:pic>
              </a:graphicData>
            </a:graphic>
          </wp:inline>
        </w:drawing>
      </w:r>
    </w:p>
    <w:p w14:paraId="609F6A76" w14:textId="32004ED0" w:rsidR="008C659D" w:rsidRPr="00082FA3" w:rsidRDefault="008C659D" w:rsidP="00F600A6">
      <w:pPr>
        <w:rPr>
          <w:lang w:val="sq-AL"/>
        </w:rPr>
      </w:pPr>
    </w:p>
    <w:p w14:paraId="4968683F" w14:textId="77777777" w:rsidR="00FF1F09" w:rsidRPr="00082FA3" w:rsidRDefault="00FF1F09" w:rsidP="009E0E3D">
      <w:pPr>
        <w:rPr>
          <w:lang w:val="sq-AL"/>
        </w:rPr>
      </w:pPr>
    </w:p>
    <w:p w14:paraId="4CFD1910" w14:textId="72C71A64" w:rsidR="00CD0EA5" w:rsidRPr="00082FA3" w:rsidRDefault="00EF37B3" w:rsidP="009E0E3D">
      <w:pPr>
        <w:rPr>
          <w:lang w:val="sq-AL"/>
        </w:rPr>
      </w:pPr>
      <w:r>
        <w:rPr>
          <w:lang w:val="sq-AL"/>
        </w:rPr>
        <w:t>N</w:t>
      </w:r>
      <w:r w:rsidR="00CD0EA5" w:rsidRPr="00082FA3">
        <w:rPr>
          <w:lang w:val="sq-AL"/>
        </w:rPr>
        <w:t xml:space="preserve">ivelet e zbatimit të Strategjisë të </w:t>
      </w:r>
      <w:r w:rsidR="00954620" w:rsidRPr="00082FA3">
        <w:rPr>
          <w:lang w:val="sq-AL"/>
        </w:rPr>
        <w:t>vendosura</w:t>
      </w:r>
      <w:r w:rsidR="00CD0EA5" w:rsidRPr="00082FA3">
        <w:rPr>
          <w:lang w:val="sq-AL"/>
        </w:rPr>
        <w:t xml:space="preserve"> në Matricën e Monitorimit nuk bazohen në një matje përfaqësuese pasi ato përqendrohen vetëm në aktivitete (sasi) dhe jo domosdoshmërisht në ndikimin që këto aktivitete kanë në bashkëpunimin qeveritar me shoqërinë civile (</w:t>
      </w:r>
      <w:r w:rsidR="002A54A8" w:rsidRPr="00082FA3">
        <w:rPr>
          <w:lang w:val="sq-AL"/>
        </w:rPr>
        <w:t>kualitet</w:t>
      </w:r>
      <w:r w:rsidR="00CD0EA5" w:rsidRPr="00082FA3">
        <w:rPr>
          <w:lang w:val="sq-AL"/>
        </w:rPr>
        <w:t xml:space="preserve">). Nuk mjafton thjesht të zbatohet Strategjia dhe të supozohet se zbatimi i suksesshëm është ekuivalent me përmirësimet aktuale në praktikë. </w:t>
      </w:r>
      <w:r w:rsidR="002A54A8" w:rsidRPr="00082FA3">
        <w:rPr>
          <w:lang w:val="sq-AL"/>
        </w:rPr>
        <w:t>Nevojitet që</w:t>
      </w:r>
      <w:r w:rsidR="00CD0EA5" w:rsidRPr="00082FA3">
        <w:rPr>
          <w:lang w:val="sq-AL"/>
        </w:rPr>
        <w:t xml:space="preserve"> të shqyrtohen rezultatet dhe ndikimet e Strategjisë.</w:t>
      </w:r>
      <w:r w:rsidR="00563E32" w:rsidRPr="00082FA3">
        <w:rPr>
          <w:lang w:val="sq-AL"/>
        </w:rPr>
        <w:t xml:space="preserve"> Gjithashtu, një numër i rezultateve janë sjellë nga përfshirja e OShC-ve individuale dhe jo nëpërmjet Sekretariatit apo Këshillit.</w:t>
      </w:r>
      <w:r w:rsidR="00C101E5" w:rsidRPr="00082FA3">
        <w:rPr>
          <w:lang w:val="sq-AL"/>
        </w:rPr>
        <w:t xml:space="preserve"> </w:t>
      </w:r>
      <w:r w:rsidR="00563E32" w:rsidRPr="00082FA3">
        <w:rPr>
          <w:lang w:val="sq-AL"/>
        </w:rPr>
        <w:t xml:space="preserve">Për shembull, ndryshimi i Ligjit mbi Prokurimin Publik i cili lejon që certifikatat e OJQ-ve të përdoren si pjesë e dokumentave në procesin e prokurimit është rezultat i kontributit të drejtpërdrejtë të disa OShC-ve të cilat kanë qenë pjesë e Grupit Punues për ndryshimin e këtij ligji. </w:t>
      </w:r>
    </w:p>
    <w:p w14:paraId="27C181A5" w14:textId="618C669C" w:rsidR="00CD0EA5" w:rsidRPr="00082FA3" w:rsidRDefault="00CD0EA5" w:rsidP="009E0E3D">
      <w:pPr>
        <w:rPr>
          <w:lang w:val="sq-AL"/>
        </w:rPr>
      </w:pPr>
    </w:p>
    <w:p w14:paraId="4F6F9325" w14:textId="635A83E0" w:rsidR="009E0E3D" w:rsidRPr="00082FA3" w:rsidRDefault="002A54A8" w:rsidP="009E0E3D">
      <w:pPr>
        <w:rPr>
          <w:lang w:val="sq-AL"/>
        </w:rPr>
      </w:pPr>
      <w:r w:rsidRPr="0015069C">
        <w:rPr>
          <w:i/>
          <w:lang w:val="sq-AL"/>
        </w:rPr>
        <w:t>Matrica e Monitorimit</w:t>
      </w:r>
      <w:r w:rsidRPr="00082FA3">
        <w:rPr>
          <w:lang w:val="sq-AL"/>
        </w:rPr>
        <w:t xml:space="preserve"> është jashtëzakonisht teknike dhe jo e orientuar drejt rezultateve. Madje edhe procesi i hartimit të Strategjisë dhe krijimi i Matricës së Monitorimit ka qenë teknik dhe nuk i është nënshtruar një procesi politik i cili do të kërkonte vullnet më të madh politik drejt forcimit të bashkëpunimit midis qeverisë dhe shoqërisë civile. Progresi i raportuar nga Matrica e Monitorimit matet bazuar në të </w:t>
      </w:r>
      <w:r w:rsidRPr="00082FA3">
        <w:rPr>
          <w:b/>
          <w:lang w:val="sq-AL"/>
        </w:rPr>
        <w:t xml:space="preserve">dhënat rendore </w:t>
      </w:r>
      <w:r w:rsidRPr="00082FA3">
        <w:rPr>
          <w:lang w:val="sq-AL"/>
        </w:rPr>
        <w:t>që i referohen të dhënave që kanë një renditje kuptimplote, në mënyrë që vlerat më të larta të përfaqësojnë më shumë veçori se sa vlerat më të ulëta. Çdo tregues matet në bazë të një vlere numerike të caktuar për veprim, siç shpjegohet në vijim.</w:t>
      </w:r>
    </w:p>
    <w:p w14:paraId="3C650C35" w14:textId="44479626" w:rsidR="002A54A8" w:rsidRPr="00082FA3" w:rsidRDefault="002A54A8" w:rsidP="00F600A6">
      <w:pPr>
        <w:rPr>
          <w:lang w:val="sq-AL"/>
        </w:rPr>
      </w:pPr>
    </w:p>
    <w:p w14:paraId="7D4C5F6B" w14:textId="5ABA1D8E" w:rsidR="002A54A8" w:rsidRPr="00082FA3" w:rsidRDefault="002A54A8" w:rsidP="002A54A8">
      <w:pPr>
        <w:ind w:left="708"/>
        <w:rPr>
          <w:i/>
          <w:lang w:val="sq-AL"/>
        </w:rPr>
      </w:pPr>
      <w:r w:rsidRPr="00082FA3">
        <w:rPr>
          <w:i/>
          <w:lang w:val="sq-AL"/>
        </w:rPr>
        <w:t xml:space="preserve">Vlera zero </w:t>
      </w:r>
      <w:r w:rsidRPr="00082FA3">
        <w:rPr>
          <w:b/>
          <w:i/>
          <w:lang w:val="sq-AL"/>
        </w:rPr>
        <w:t>"0"</w:t>
      </w:r>
      <w:r w:rsidRPr="00082FA3">
        <w:rPr>
          <w:i/>
          <w:lang w:val="sq-AL"/>
        </w:rPr>
        <w:t xml:space="preserve"> tregon se veprimi nuk është implementuar</w:t>
      </w:r>
      <w:r w:rsidRPr="00082FA3">
        <w:rPr>
          <w:b/>
          <w:i/>
          <w:lang w:val="sq-AL"/>
        </w:rPr>
        <w:t>, "0.5"</w:t>
      </w:r>
      <w:r w:rsidRPr="00082FA3">
        <w:rPr>
          <w:i/>
          <w:lang w:val="sq-AL"/>
        </w:rPr>
        <w:t xml:space="preserve"> tregon se veprimi është implementuar pjesërisht dhe </w:t>
      </w:r>
      <w:r w:rsidRPr="00082FA3">
        <w:rPr>
          <w:b/>
          <w:i/>
          <w:lang w:val="sq-AL"/>
        </w:rPr>
        <w:t>"1"</w:t>
      </w:r>
      <w:r w:rsidRPr="00082FA3">
        <w:rPr>
          <w:i/>
          <w:lang w:val="sq-AL"/>
        </w:rPr>
        <w:t xml:space="preserve"> tregon se veprimi është implementuar.</w:t>
      </w:r>
    </w:p>
    <w:p w14:paraId="54A5F486" w14:textId="5AA698FA" w:rsidR="0071792A" w:rsidRPr="00082FA3" w:rsidRDefault="0071792A" w:rsidP="00F600A6">
      <w:pPr>
        <w:rPr>
          <w:lang w:val="sq-AL"/>
        </w:rPr>
      </w:pPr>
    </w:p>
    <w:p w14:paraId="18E81D98" w14:textId="51BC3C0D" w:rsidR="002A54A8" w:rsidRPr="00082FA3" w:rsidRDefault="002A54A8" w:rsidP="008C659D">
      <w:pPr>
        <w:rPr>
          <w:lang w:val="sq-AL"/>
        </w:rPr>
      </w:pPr>
      <w:r w:rsidRPr="00082FA3">
        <w:rPr>
          <w:lang w:val="sq-AL"/>
        </w:rPr>
        <w:t>Renditja rendore e vendosur në</w:t>
      </w:r>
      <w:r w:rsidRPr="00CE31D7">
        <w:rPr>
          <w:i/>
          <w:lang w:val="sq-AL"/>
        </w:rPr>
        <w:t xml:space="preserve"> Matricën e Monitorimit </w:t>
      </w:r>
      <w:r w:rsidRPr="00082FA3">
        <w:rPr>
          <w:lang w:val="sq-AL"/>
        </w:rPr>
        <w:t xml:space="preserve">bazohet në </w:t>
      </w:r>
      <w:r w:rsidRPr="00CE31D7">
        <w:rPr>
          <w:i/>
          <w:lang w:val="sq-AL"/>
        </w:rPr>
        <w:t>vlerësimet</w:t>
      </w:r>
      <w:r w:rsidRPr="00082FA3">
        <w:rPr>
          <w:lang w:val="sq-AL"/>
        </w:rPr>
        <w:t xml:space="preserve"> </w:t>
      </w:r>
      <w:r w:rsidRPr="00082FA3">
        <w:rPr>
          <w:i/>
          <w:lang w:val="sq-AL"/>
        </w:rPr>
        <w:t>subjektive numerike</w:t>
      </w:r>
      <w:r w:rsidRPr="00082FA3">
        <w:rPr>
          <w:lang w:val="sq-AL"/>
        </w:rPr>
        <w:t xml:space="preserve">. Këto numra janë vlerësime subjektive të renditura nga Sekretariati në mënyra të përshtatshme vetëm për masa sasiore. Në rastin e Strategjisë, shumë aspekte të zbatimit të saj nuk mund të maten drejtpërdrejt. Për shembull, veprimi i ndërmarrë për </w:t>
      </w:r>
      <w:r w:rsidR="0093684C" w:rsidRPr="00082FA3">
        <w:rPr>
          <w:lang w:val="sq-AL"/>
        </w:rPr>
        <w:t>lansimin</w:t>
      </w:r>
      <w:r w:rsidRPr="00082FA3">
        <w:rPr>
          <w:lang w:val="sq-AL"/>
        </w:rPr>
        <w:t xml:space="preserve"> e </w:t>
      </w:r>
      <w:r w:rsidRPr="00082FA3">
        <w:rPr>
          <w:i/>
          <w:lang w:val="sq-AL"/>
        </w:rPr>
        <w:t>Platformës Online për Konsultime Publike</w:t>
      </w:r>
      <w:r w:rsidRPr="00082FA3">
        <w:rPr>
          <w:lang w:val="sq-AL"/>
        </w:rPr>
        <w:t xml:space="preserve"> nuk do të thotë domosdoshmërisht që shoqëria civile dhe publiku në përgjithësi </w:t>
      </w:r>
      <w:r w:rsidR="0093684C" w:rsidRPr="00082FA3">
        <w:rPr>
          <w:lang w:val="sq-AL"/>
        </w:rPr>
        <w:t xml:space="preserve">janë </w:t>
      </w:r>
      <w:r w:rsidRPr="00082FA3">
        <w:rPr>
          <w:lang w:val="sq-AL"/>
        </w:rPr>
        <w:t>konsult</w:t>
      </w:r>
      <w:r w:rsidR="0093684C" w:rsidRPr="00082FA3">
        <w:rPr>
          <w:lang w:val="sq-AL"/>
        </w:rPr>
        <w:t xml:space="preserve">uar në masë të madhe dhe se </w:t>
      </w:r>
      <w:r w:rsidRPr="00082FA3">
        <w:rPr>
          <w:lang w:val="sq-AL"/>
        </w:rPr>
        <w:t xml:space="preserve">kontributi i tyre ka ndryshuar cilësinë e politikave duke i bërë ato më gjithëpërfshirëse dhe përfaqësuese </w:t>
      </w:r>
      <w:r w:rsidR="0093684C" w:rsidRPr="00082FA3">
        <w:rPr>
          <w:lang w:val="sq-AL"/>
        </w:rPr>
        <w:t>të interesit të</w:t>
      </w:r>
      <w:r w:rsidRPr="00082FA3">
        <w:rPr>
          <w:lang w:val="sq-AL"/>
        </w:rPr>
        <w:t xml:space="preserve"> përgjithshëm publik. Në këtë rast, është e mundur të identifikohen masat indirekte ose treguesit që do të matin performancën e dëshiruar të palëve të interesuara kur është fjala për ndryshimin ose përmirësimin e bashkëpunimit qeveritar me shoqërinë civile.</w:t>
      </w:r>
    </w:p>
    <w:p w14:paraId="49BA763E" w14:textId="77777777" w:rsidR="002A54A8" w:rsidRPr="00082FA3" w:rsidRDefault="002A54A8" w:rsidP="008C659D">
      <w:pPr>
        <w:rPr>
          <w:lang w:val="sq-AL"/>
        </w:rPr>
      </w:pPr>
    </w:p>
    <w:p w14:paraId="3C079E01" w14:textId="088E0FEA" w:rsidR="0093684C" w:rsidRPr="00082FA3" w:rsidRDefault="0093684C" w:rsidP="00E62DD4">
      <w:pPr>
        <w:rPr>
          <w:lang w:val="sq-AL"/>
        </w:rPr>
      </w:pPr>
      <w:r w:rsidRPr="00082FA3">
        <w:rPr>
          <w:lang w:val="sq-AL"/>
        </w:rPr>
        <w:t xml:space="preserve">Në nën-seksionet e mëposhtme, zbatimi i Strategjisë matet për çdo objektiv strategjik bazuar në Matricën e Monitorimit. Megjithatë, nëse krahasohen të dhënat rendore kundrejt indikatorëve për matjen e performancës së Strategjisë, qasja e fundit do të tregonte nivele më të ulëta të zbatimit të Strategjisë në praktikë. Për të nxjerrë një vlerësim më realist të efektivitetit të Strategjisë, rezultatet e treguara nga Matrica e Monitorimit sfidohen më tej për çdo objektiv. Për të vërtetuar dhe sfiduar rezultatet e raportuara në Matricën e Monitorimit, është përdorur </w:t>
      </w:r>
      <w:r w:rsidRPr="00082FA3">
        <w:rPr>
          <w:b/>
          <w:lang w:val="sq-AL"/>
        </w:rPr>
        <w:t>një sistem vlerësimi me Drita trafiku</w:t>
      </w:r>
      <w:r w:rsidRPr="00082FA3">
        <w:rPr>
          <w:lang w:val="sq-AL"/>
        </w:rPr>
        <w:t xml:space="preserve"> për të raportuar mbi progresin e zbatimit të Strategjisë. Efikasiteti i këtij sistemi të përcjelljes varet më shumë nga gjykimi dhe integriteti i koordinatorëve të shoqërisë civile. Qëllimi i tij është të raportojë mbi nivelin e progresit të arritur dhe ta bëjë të qartë</w:t>
      </w:r>
      <w:r w:rsidR="00927C9B" w:rsidRPr="00082FA3">
        <w:rPr>
          <w:lang w:val="sq-AL"/>
        </w:rPr>
        <w:t xml:space="preserve"> se</w:t>
      </w:r>
      <w:r w:rsidRPr="00082FA3">
        <w:rPr>
          <w:lang w:val="sq-AL"/>
        </w:rPr>
        <w:t xml:space="preserve"> kur </w:t>
      </w:r>
      <w:r w:rsidR="00927C9B" w:rsidRPr="00082FA3">
        <w:rPr>
          <w:lang w:val="sq-AL"/>
        </w:rPr>
        <w:t xml:space="preserve">është i nevojshëm </w:t>
      </w:r>
      <w:r w:rsidRPr="00082FA3">
        <w:rPr>
          <w:lang w:val="sq-AL"/>
        </w:rPr>
        <w:t>intervenimi.</w:t>
      </w:r>
    </w:p>
    <w:p w14:paraId="4D0542CC" w14:textId="77777777" w:rsidR="00636AC0" w:rsidRPr="00082FA3" w:rsidRDefault="00636AC0" w:rsidP="00E62DD4">
      <w:pPr>
        <w:rPr>
          <w:lang w:val="sq-AL"/>
        </w:rPr>
      </w:pPr>
    </w:p>
    <w:tbl>
      <w:tblPr>
        <w:tblStyle w:val="TableGridLight1"/>
        <w:tblW w:w="0" w:type="auto"/>
        <w:jc w:val="center"/>
        <w:tblLook w:val="04A0" w:firstRow="1" w:lastRow="0" w:firstColumn="1" w:lastColumn="0" w:noHBand="0" w:noVBand="1"/>
      </w:tblPr>
      <w:tblGrid>
        <w:gridCol w:w="804"/>
        <w:gridCol w:w="5041"/>
        <w:gridCol w:w="3181"/>
      </w:tblGrid>
      <w:tr w:rsidR="00E62DD4" w:rsidRPr="00082FA3" w14:paraId="38DCC45A" w14:textId="77777777" w:rsidTr="00C22C82">
        <w:trPr>
          <w:trHeight w:val="518"/>
          <w:jc w:val="center"/>
        </w:trPr>
        <w:tc>
          <w:tcPr>
            <w:tcW w:w="804" w:type="dxa"/>
            <w:shd w:val="clear" w:color="auto" w:fill="F2F2F2" w:themeFill="background1" w:themeFillShade="F2"/>
            <w:vAlign w:val="center"/>
          </w:tcPr>
          <w:p w14:paraId="6F46DF21" w14:textId="0CFA2508" w:rsidR="00E62DD4" w:rsidRPr="00082FA3" w:rsidRDefault="00E62DD4" w:rsidP="00E62DD4">
            <w:pPr>
              <w:jc w:val="center"/>
              <w:rPr>
                <w:rFonts w:cs="Calibri Light"/>
                <w:sz w:val="18"/>
                <w:szCs w:val="18"/>
                <w:lang w:val="sq-AL"/>
              </w:rPr>
            </w:pPr>
            <w:r w:rsidRPr="00082FA3">
              <w:rPr>
                <w:rFonts w:cs="Calibri Light"/>
                <w:sz w:val="18"/>
                <w:szCs w:val="18"/>
                <w:lang w:val="sq-AL"/>
              </w:rPr>
              <w:br/>
            </w:r>
          </w:p>
        </w:tc>
        <w:tc>
          <w:tcPr>
            <w:tcW w:w="5041" w:type="dxa"/>
            <w:shd w:val="clear" w:color="auto" w:fill="F2F2F2" w:themeFill="background1" w:themeFillShade="F2"/>
            <w:vAlign w:val="center"/>
          </w:tcPr>
          <w:p w14:paraId="0CEAE250" w14:textId="6B52EF03" w:rsidR="00E62DD4" w:rsidRPr="00082FA3" w:rsidRDefault="00927C9B" w:rsidP="00B958A1">
            <w:pPr>
              <w:rPr>
                <w:rFonts w:cs="Calibri Light"/>
                <w:szCs w:val="20"/>
                <w:lang w:val="sq-AL"/>
              </w:rPr>
            </w:pPr>
            <w:r w:rsidRPr="00082FA3">
              <w:rPr>
                <w:rFonts w:cs="Calibri Light"/>
                <w:szCs w:val="20"/>
                <w:lang w:val="sq-AL"/>
              </w:rPr>
              <w:t>Përshkrimi</w:t>
            </w:r>
            <w:r w:rsidR="00E62DD4" w:rsidRPr="00082FA3">
              <w:rPr>
                <w:rFonts w:cs="Calibri Light"/>
                <w:szCs w:val="20"/>
                <w:lang w:val="sq-AL"/>
              </w:rPr>
              <w:t xml:space="preserve"> </w:t>
            </w:r>
          </w:p>
        </w:tc>
        <w:tc>
          <w:tcPr>
            <w:tcW w:w="3181" w:type="dxa"/>
            <w:shd w:val="clear" w:color="auto" w:fill="F2F2F2" w:themeFill="background1" w:themeFillShade="F2"/>
            <w:vAlign w:val="center"/>
          </w:tcPr>
          <w:p w14:paraId="4895E0C5" w14:textId="4173961C" w:rsidR="00E62DD4" w:rsidRPr="00082FA3" w:rsidRDefault="00927C9B" w:rsidP="00B958A1">
            <w:pPr>
              <w:rPr>
                <w:rFonts w:cs="Calibri Light"/>
                <w:szCs w:val="20"/>
                <w:lang w:val="sq-AL"/>
              </w:rPr>
            </w:pPr>
            <w:r w:rsidRPr="00082FA3">
              <w:rPr>
                <w:rFonts w:cs="Calibri Light"/>
                <w:szCs w:val="20"/>
                <w:lang w:val="sq-AL"/>
              </w:rPr>
              <w:t>Veprimi</w:t>
            </w:r>
          </w:p>
        </w:tc>
      </w:tr>
      <w:tr w:rsidR="00E62DD4" w:rsidRPr="00082FA3" w14:paraId="478B8845" w14:textId="77777777" w:rsidTr="00C22C82">
        <w:trPr>
          <w:trHeight w:val="505"/>
          <w:jc w:val="center"/>
        </w:trPr>
        <w:tc>
          <w:tcPr>
            <w:tcW w:w="804" w:type="dxa"/>
            <w:shd w:val="clear" w:color="auto" w:fill="F2F2F2" w:themeFill="background1" w:themeFillShade="F2"/>
          </w:tcPr>
          <w:p w14:paraId="7D2E0BE1" w14:textId="77777777" w:rsidR="00E62DD4" w:rsidRPr="00082FA3" w:rsidRDefault="00E62DD4"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71552" behindDoc="0" locked="0" layoutInCell="1" allowOverlap="1" wp14:anchorId="410165DB" wp14:editId="6DAD6948">
                      <wp:simplePos x="0" y="0"/>
                      <wp:positionH relativeFrom="column">
                        <wp:posOffset>57150</wp:posOffset>
                      </wp:positionH>
                      <wp:positionV relativeFrom="paragraph">
                        <wp:posOffset>38735</wp:posOffset>
                      </wp:positionV>
                      <wp:extent cx="236220" cy="228600"/>
                      <wp:effectExtent l="0" t="0" r="11430" b="19050"/>
                      <wp:wrapNone/>
                      <wp:docPr id="7" name="Flowchart: Connector 7"/>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2409D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4.5pt;margin-top:3.05pt;width:18.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" fillcolor="red" strokecolor="#7f7f7f [1612]" strokeweight="2pt"/>
                  </w:pict>
                </mc:Fallback>
              </mc:AlternateContent>
            </w:r>
          </w:p>
        </w:tc>
        <w:tc>
          <w:tcPr>
            <w:tcW w:w="5041" w:type="dxa"/>
          </w:tcPr>
          <w:p w14:paraId="6A8AAE19" w14:textId="05F81CB3" w:rsidR="00E62DD4" w:rsidRPr="00082FA3" w:rsidRDefault="00927C9B" w:rsidP="00B958A1">
            <w:pPr>
              <w:rPr>
                <w:rFonts w:cs="Calibri Light"/>
                <w:sz w:val="18"/>
                <w:szCs w:val="18"/>
                <w:lang w:val="sq-AL"/>
              </w:rPr>
            </w:pPr>
            <w:r w:rsidRPr="00082FA3">
              <w:rPr>
                <w:rFonts w:cs="Calibri Light"/>
                <w:sz w:val="18"/>
                <w:szCs w:val="18"/>
                <w:lang w:val="sq-AL"/>
              </w:rPr>
              <w:t>Ky objektiv është përkeqësuar ose nuk ka arritur progres. Ekzistojnë probleme të rëndësishme me projektin.</w:t>
            </w:r>
          </w:p>
        </w:tc>
        <w:tc>
          <w:tcPr>
            <w:tcW w:w="3181" w:type="dxa"/>
          </w:tcPr>
          <w:p w14:paraId="442B2DDE" w14:textId="5F9A957F" w:rsidR="00E62DD4" w:rsidRPr="00082FA3" w:rsidRDefault="00927C9B" w:rsidP="00B958A1">
            <w:pPr>
              <w:rPr>
                <w:rFonts w:cs="Calibri Light"/>
                <w:sz w:val="18"/>
                <w:szCs w:val="18"/>
                <w:lang w:val="sq-AL"/>
              </w:rPr>
            </w:pPr>
            <w:r w:rsidRPr="00082FA3">
              <w:rPr>
                <w:rFonts w:cs="Calibri Light"/>
                <w:sz w:val="18"/>
                <w:szCs w:val="18"/>
                <w:lang w:val="sq-AL"/>
              </w:rPr>
              <w:t>Objektivi duhet të përshkallëzohet menjëherë në Këshill</w:t>
            </w:r>
          </w:p>
        </w:tc>
      </w:tr>
      <w:tr w:rsidR="00E62DD4" w:rsidRPr="00082FA3" w14:paraId="52A9EAD8" w14:textId="77777777" w:rsidTr="00C22C82">
        <w:trPr>
          <w:trHeight w:val="518"/>
          <w:jc w:val="center"/>
        </w:trPr>
        <w:tc>
          <w:tcPr>
            <w:tcW w:w="804" w:type="dxa"/>
            <w:shd w:val="clear" w:color="auto" w:fill="F2F2F2" w:themeFill="background1" w:themeFillShade="F2"/>
          </w:tcPr>
          <w:p w14:paraId="4EF7AB1D" w14:textId="38CAB35D" w:rsidR="00E62DD4" w:rsidRPr="00082FA3" w:rsidRDefault="00BF0239"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73600" behindDoc="0" locked="0" layoutInCell="1" allowOverlap="1" wp14:anchorId="121D5C36" wp14:editId="70C278CA">
                      <wp:simplePos x="0" y="0"/>
                      <wp:positionH relativeFrom="column">
                        <wp:posOffset>59346</wp:posOffset>
                      </wp:positionH>
                      <wp:positionV relativeFrom="paragraph">
                        <wp:posOffset>119457</wp:posOffset>
                      </wp:positionV>
                      <wp:extent cx="244766" cy="228600"/>
                      <wp:effectExtent l="0" t="0" r="22225" b="19050"/>
                      <wp:wrapNone/>
                      <wp:docPr id="9" name="Flowchart: Connector 9"/>
                      <wp:cNvGraphicFramePr/>
                      <a:graphic xmlns:a="http://schemas.openxmlformats.org/drawingml/2006/main">
                        <a:graphicData uri="http://schemas.microsoft.com/office/word/2010/wordprocessingShape">
                          <wps:wsp>
                            <wps:cNvSpPr/>
                            <wps:spPr>
                              <a:xfrm>
                                <a:off x="0" y="0"/>
                                <a:ext cx="244766" cy="228600"/>
                              </a:xfrm>
                              <a:prstGeom prst="flowChartConnector">
                                <a:avLst/>
                              </a:prstGeom>
                              <a:solidFill>
                                <a:srgbClr val="FFFF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18D2A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65pt;margin-top:9.4pt;width:19.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" fillcolor="yellow" strokecolor="#7f7f7f [1612]" strokeweight="2pt"/>
                  </w:pict>
                </mc:Fallback>
              </mc:AlternateContent>
            </w:r>
          </w:p>
        </w:tc>
        <w:tc>
          <w:tcPr>
            <w:tcW w:w="5041" w:type="dxa"/>
          </w:tcPr>
          <w:p w14:paraId="0E6C4E88" w14:textId="0A15B900" w:rsidR="00E62DD4" w:rsidRPr="00082FA3" w:rsidRDefault="00927C9B" w:rsidP="00B958A1">
            <w:pPr>
              <w:rPr>
                <w:rFonts w:cs="Calibri Light"/>
                <w:sz w:val="18"/>
                <w:szCs w:val="18"/>
                <w:lang w:val="sq-AL"/>
              </w:rPr>
            </w:pPr>
            <w:r w:rsidRPr="00082FA3">
              <w:rPr>
                <w:rFonts w:cs="Calibri Light"/>
                <w:sz w:val="18"/>
                <w:szCs w:val="18"/>
                <w:lang w:val="sq-AL"/>
              </w:rPr>
              <w:t>Ky objektiv është ende në progres e sipër dhe ka janë arritur disa përparime. Megjithatë, progresi i raportuar është prapa planit.</w:t>
            </w:r>
          </w:p>
        </w:tc>
        <w:tc>
          <w:tcPr>
            <w:tcW w:w="3181" w:type="dxa"/>
          </w:tcPr>
          <w:p w14:paraId="6303EBE1" w14:textId="273429D8" w:rsidR="00927C9B" w:rsidRPr="00082FA3" w:rsidRDefault="00927C9B" w:rsidP="00B958A1">
            <w:pPr>
              <w:rPr>
                <w:rFonts w:cs="Calibri Light"/>
                <w:sz w:val="18"/>
                <w:szCs w:val="18"/>
                <w:lang w:val="sq-AL"/>
              </w:rPr>
            </w:pPr>
            <w:r w:rsidRPr="00082FA3">
              <w:rPr>
                <w:rFonts w:cs="Calibri Light"/>
                <w:sz w:val="18"/>
                <w:szCs w:val="18"/>
                <w:lang w:val="sq-AL"/>
              </w:rPr>
              <w:t xml:space="preserve">Objektivit duhet t’i caktohet një takim informues nga Sekretariati </w:t>
            </w:r>
          </w:p>
          <w:p w14:paraId="59209967" w14:textId="23623608" w:rsidR="00E62DD4" w:rsidRPr="00082FA3" w:rsidRDefault="00E62DD4" w:rsidP="00B958A1">
            <w:pPr>
              <w:rPr>
                <w:rFonts w:cs="Calibri Light"/>
                <w:sz w:val="18"/>
                <w:szCs w:val="18"/>
                <w:lang w:val="sq-AL"/>
              </w:rPr>
            </w:pPr>
          </w:p>
        </w:tc>
      </w:tr>
      <w:tr w:rsidR="00E62DD4" w:rsidRPr="00082FA3" w14:paraId="79CF1863" w14:textId="77777777" w:rsidTr="00C22C82">
        <w:trPr>
          <w:trHeight w:val="518"/>
          <w:jc w:val="center"/>
        </w:trPr>
        <w:tc>
          <w:tcPr>
            <w:tcW w:w="804" w:type="dxa"/>
            <w:shd w:val="clear" w:color="auto" w:fill="F2F2F2" w:themeFill="background1" w:themeFillShade="F2"/>
          </w:tcPr>
          <w:p w14:paraId="5BA345EC" w14:textId="7BF8E12A" w:rsidR="00E62DD4" w:rsidRPr="00082FA3" w:rsidRDefault="00BF0239"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97152" behindDoc="0" locked="0" layoutInCell="1" allowOverlap="1" wp14:anchorId="57ADAFEF" wp14:editId="080DD844">
                      <wp:simplePos x="0" y="0"/>
                      <wp:positionH relativeFrom="column">
                        <wp:posOffset>53975</wp:posOffset>
                      </wp:positionH>
                      <wp:positionV relativeFrom="paragraph">
                        <wp:posOffset>64770</wp:posOffset>
                      </wp:positionV>
                      <wp:extent cx="236220" cy="228600"/>
                      <wp:effectExtent l="0" t="0" r="11430" b="19050"/>
                      <wp:wrapNone/>
                      <wp:docPr id="8" name="Flowchart: Connector 8"/>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770647" id="Flowchart: Connector 8" o:spid="_x0000_s1026" type="#_x0000_t120" style="position:absolute;margin-left:4.25pt;margin-top:5.1pt;width:18.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" fillcolor="#92d050" strokecolor="#7f7f7f [1612]" strokeweight="2pt"/>
                  </w:pict>
                </mc:Fallback>
              </mc:AlternateContent>
            </w:r>
          </w:p>
        </w:tc>
        <w:tc>
          <w:tcPr>
            <w:tcW w:w="5041" w:type="dxa"/>
          </w:tcPr>
          <w:p w14:paraId="21BE4654" w14:textId="0F0C7583" w:rsidR="00E62DD4" w:rsidRPr="00082FA3" w:rsidRDefault="00927C9B" w:rsidP="00B958A1">
            <w:pPr>
              <w:rPr>
                <w:rFonts w:cs="Calibri Light"/>
                <w:sz w:val="18"/>
                <w:szCs w:val="18"/>
                <w:lang w:val="sq-AL"/>
              </w:rPr>
            </w:pPr>
            <w:r w:rsidRPr="00082FA3">
              <w:rPr>
                <w:rFonts w:cs="Calibri Light"/>
                <w:sz w:val="18"/>
                <w:szCs w:val="18"/>
                <w:lang w:val="sq-AL"/>
              </w:rPr>
              <w:t>Ky objektiv ose është përfunduar ose ende vazhdon por në shenjë. Po kryhet sipas planit.</w:t>
            </w:r>
          </w:p>
        </w:tc>
        <w:tc>
          <w:tcPr>
            <w:tcW w:w="3181" w:type="dxa"/>
          </w:tcPr>
          <w:p w14:paraId="683CA692" w14:textId="666E08E3" w:rsidR="00E62DD4" w:rsidRPr="00082FA3" w:rsidRDefault="00927C9B" w:rsidP="00B958A1">
            <w:pPr>
              <w:rPr>
                <w:rFonts w:cs="Calibri Light"/>
                <w:sz w:val="18"/>
                <w:szCs w:val="18"/>
                <w:lang w:val="sq-AL"/>
              </w:rPr>
            </w:pPr>
            <w:r w:rsidRPr="00082FA3">
              <w:rPr>
                <w:rFonts w:cs="Calibri Light"/>
                <w:sz w:val="18"/>
                <w:szCs w:val="18"/>
                <w:lang w:val="sq-AL"/>
              </w:rPr>
              <w:t>Objektivi nuk kërkon që të ndërmerren veprime</w:t>
            </w:r>
          </w:p>
        </w:tc>
      </w:tr>
    </w:tbl>
    <w:p w14:paraId="5ACE8C56" w14:textId="3C195431" w:rsidR="00BF0239" w:rsidRPr="00082FA3" w:rsidRDefault="00BF0239" w:rsidP="008C659D">
      <w:pPr>
        <w:rPr>
          <w:lang w:val="sq-AL"/>
        </w:rPr>
      </w:pPr>
    </w:p>
    <w:p w14:paraId="16870C82" w14:textId="51AF339F" w:rsidR="00927C9B" w:rsidRPr="00082FA3" w:rsidRDefault="00927C9B" w:rsidP="008C659D">
      <w:pPr>
        <w:rPr>
          <w:lang w:val="sq-AL"/>
        </w:rPr>
      </w:pPr>
      <w:r w:rsidRPr="00082FA3">
        <w:rPr>
          <w:lang w:val="sq-AL"/>
        </w:rPr>
        <w:lastRenderedPageBreak/>
        <w:t xml:space="preserve">Ngjyra e kuqe tregon se politikat </w:t>
      </w:r>
      <w:r w:rsidR="00636AC0" w:rsidRPr="00082FA3">
        <w:rPr>
          <w:lang w:val="sq-AL"/>
        </w:rPr>
        <w:t xml:space="preserve">dhe intervenimet </w:t>
      </w:r>
      <w:r w:rsidRPr="00082FA3">
        <w:rPr>
          <w:lang w:val="sq-AL"/>
        </w:rPr>
        <w:t xml:space="preserve">janë në fazën më të hershme të analizimit dhe hartimit. Ngjyra e verdhë tregon se analizat dhe draftet e politikave dhe ligjeve kanë përfunduar por ato nuk kanë sjellë ndonjë efekt praktik. Ngjyra e gjelbër tregon se politikat janë miratuar, përfunduar dhe po zbatohen në masën më të plotë siç </w:t>
      </w:r>
      <w:r w:rsidR="00E42316" w:rsidRPr="00082FA3">
        <w:rPr>
          <w:lang w:val="sq-AL"/>
        </w:rPr>
        <w:t xml:space="preserve">është </w:t>
      </w:r>
      <w:r w:rsidRPr="00082FA3">
        <w:rPr>
          <w:lang w:val="sq-AL"/>
        </w:rPr>
        <w:t>prit</w:t>
      </w:r>
      <w:r w:rsidR="00E42316" w:rsidRPr="00082FA3">
        <w:rPr>
          <w:lang w:val="sq-AL"/>
        </w:rPr>
        <w:t>ur</w:t>
      </w:r>
      <w:r w:rsidRPr="00082FA3">
        <w:rPr>
          <w:lang w:val="sq-AL"/>
        </w:rPr>
        <w:t>. Objektivat e ngjyrosura në të kuqe dhe të verdhë janë më të rëndësishme për zbatimin e mbetur të Strategjisë dhe duhet të merren parasysh për Strategjinë e ardhshme 2018-2022.</w:t>
      </w:r>
    </w:p>
    <w:p w14:paraId="1548E4CA" w14:textId="77777777" w:rsidR="00927C9B" w:rsidRPr="00082FA3" w:rsidRDefault="00927C9B" w:rsidP="008C659D">
      <w:pPr>
        <w:rPr>
          <w:lang w:val="sq-AL"/>
        </w:rPr>
      </w:pPr>
    </w:p>
    <w:p w14:paraId="74B6F3C2" w14:textId="5F1BC394" w:rsidR="00907367" w:rsidRPr="00082FA3" w:rsidRDefault="00907367" w:rsidP="007752F1">
      <w:pPr>
        <w:shd w:val="clear" w:color="auto" w:fill="B7FFFF"/>
        <w:rPr>
          <w:rFonts w:cs="Calibri Light"/>
          <w:lang w:val="sq-AL"/>
        </w:rPr>
      </w:pPr>
      <w:r w:rsidRPr="00082FA3">
        <w:rPr>
          <w:rFonts w:cs="Calibri Light"/>
          <w:b/>
          <w:lang w:val="sq-AL"/>
        </w:rPr>
        <w:t xml:space="preserve">2.2.1 </w:t>
      </w:r>
      <w:r w:rsidR="00A63C6F" w:rsidRPr="00082FA3">
        <w:rPr>
          <w:rFonts w:cs="Calibri Light"/>
          <w:b/>
          <w:lang w:val="sq-AL"/>
        </w:rPr>
        <w:t xml:space="preserve">Objektivi </w:t>
      </w:r>
      <w:r w:rsidRPr="00082FA3">
        <w:rPr>
          <w:rFonts w:cs="Calibri Light"/>
          <w:b/>
          <w:lang w:val="sq-AL"/>
        </w:rPr>
        <w:t>Strateg</w:t>
      </w:r>
      <w:r w:rsidR="00A63C6F" w:rsidRPr="00082FA3">
        <w:rPr>
          <w:rFonts w:cs="Calibri Light"/>
          <w:b/>
          <w:lang w:val="sq-AL"/>
        </w:rPr>
        <w:t>jik</w:t>
      </w:r>
      <w:r w:rsidRPr="00082FA3">
        <w:rPr>
          <w:rFonts w:cs="Calibri Light"/>
          <w:b/>
          <w:lang w:val="sq-AL"/>
        </w:rPr>
        <w:t xml:space="preserve"> 1:</w:t>
      </w:r>
      <w:r w:rsidRPr="00082FA3">
        <w:rPr>
          <w:rFonts w:cs="Calibri Light"/>
          <w:lang w:val="sq-AL"/>
        </w:rPr>
        <w:t xml:space="preserve"> </w:t>
      </w:r>
      <w:r w:rsidR="00A63C6F" w:rsidRPr="00082FA3">
        <w:rPr>
          <w:rFonts w:cs="Calibri Light"/>
          <w:lang w:val="sq-AL"/>
        </w:rPr>
        <w:t xml:space="preserve">Shoqëria civile </w:t>
      </w:r>
      <w:r w:rsidR="00A404E9">
        <w:rPr>
          <w:rFonts w:cs="Calibri Light"/>
          <w:lang w:val="sq-AL"/>
        </w:rPr>
        <w:t xml:space="preserve">ka </w:t>
      </w:r>
      <w:r w:rsidR="00A63C6F" w:rsidRPr="00082FA3">
        <w:rPr>
          <w:rFonts w:cs="Calibri Light"/>
          <w:lang w:val="sq-AL"/>
        </w:rPr>
        <w:t>sigur</w:t>
      </w:r>
      <w:r w:rsidR="00A404E9">
        <w:rPr>
          <w:rFonts w:cs="Calibri Light"/>
          <w:lang w:val="sq-AL"/>
        </w:rPr>
        <w:t>uar</w:t>
      </w:r>
      <w:r w:rsidR="00A63C6F" w:rsidRPr="00082FA3">
        <w:rPr>
          <w:rFonts w:cs="Calibri Light"/>
          <w:lang w:val="sq-AL"/>
        </w:rPr>
        <w:t xml:space="preserve"> dhe fuqiz</w:t>
      </w:r>
      <w:r w:rsidR="00A404E9">
        <w:rPr>
          <w:rFonts w:cs="Calibri Light"/>
          <w:lang w:val="sq-AL"/>
        </w:rPr>
        <w:t>uar</w:t>
      </w:r>
      <w:r w:rsidR="00A63C6F" w:rsidRPr="00082FA3">
        <w:rPr>
          <w:rFonts w:cs="Calibri Light"/>
          <w:lang w:val="sq-AL"/>
        </w:rPr>
        <w:t xml:space="preserve"> pjesëmarrjen në formulimin dhe zbatimin e politikave dhe legjislacionit </w:t>
      </w:r>
    </w:p>
    <w:p w14:paraId="7693101D" w14:textId="4BF35DB9" w:rsidR="00225310" w:rsidRPr="00082FA3" w:rsidRDefault="00225310" w:rsidP="00907367">
      <w:pPr>
        <w:rPr>
          <w:rFonts w:cs="Calibri Light"/>
          <w:lang w:val="sq-AL"/>
        </w:rPr>
      </w:pPr>
    </w:p>
    <w:p w14:paraId="0A62026A" w14:textId="62701839" w:rsidR="00A63C6F" w:rsidRPr="00082FA3" w:rsidRDefault="00A63C6F" w:rsidP="00907367">
      <w:pPr>
        <w:rPr>
          <w:rFonts w:cs="Calibri Light"/>
          <w:lang w:val="sq-AL"/>
        </w:rPr>
      </w:pPr>
      <w:r w:rsidRPr="00082FA3">
        <w:rPr>
          <w:rFonts w:cs="Calibri Light"/>
          <w:lang w:val="sq-AL"/>
        </w:rPr>
        <w:t xml:space="preserve">Zbatimi i këtij objektivi strategjik ka arritur një nivel progresi prej </w:t>
      </w:r>
      <w:r w:rsidRPr="00082FA3">
        <w:rPr>
          <w:rFonts w:cs="Calibri Light"/>
          <w:b/>
          <w:lang w:val="sq-AL"/>
        </w:rPr>
        <w:t>90 përqind</w:t>
      </w:r>
      <w:r w:rsidRPr="00082FA3">
        <w:rPr>
          <w:rFonts w:cs="Calibri Light"/>
          <w:lang w:val="sq-AL"/>
        </w:rPr>
        <w:t xml:space="preserve"> në zhvillimin e bazës ligjore për forcimin e pjesëmarrjes së shoqërisë civile në hartimin e politikave dhe legjislacionit</w:t>
      </w:r>
      <w:r w:rsidRPr="00082FA3">
        <w:rPr>
          <w:rStyle w:val="FootnoteReference"/>
          <w:rFonts w:cs="Calibri Light"/>
          <w:lang w:val="sq-AL"/>
        </w:rPr>
        <w:footnoteReference w:id="14"/>
      </w:r>
      <w:r w:rsidRPr="00082FA3">
        <w:rPr>
          <w:rFonts w:cs="Calibri Light"/>
          <w:lang w:val="sq-AL"/>
        </w:rPr>
        <w:t xml:space="preserve">. Ky objektiv strategjik është shumë më i </w:t>
      </w:r>
      <w:r w:rsidRPr="00082FA3">
        <w:rPr>
          <w:rFonts w:cs="Calibri Light"/>
          <w:i/>
          <w:lang w:val="sq-AL"/>
        </w:rPr>
        <w:t>arritshëm</w:t>
      </w:r>
      <w:r w:rsidRPr="00082FA3">
        <w:rPr>
          <w:rFonts w:cs="Calibri Light"/>
          <w:lang w:val="sq-AL"/>
        </w:rPr>
        <w:t xml:space="preserve"> në krahasim me objektivat e tjera, duke pasur parasysh progresin e bërë sipas treguesve të mëposhtëm.</w:t>
      </w:r>
    </w:p>
    <w:p w14:paraId="29A2AB17" w14:textId="77777777" w:rsidR="009A6C6C" w:rsidRPr="00082FA3" w:rsidRDefault="009A6C6C" w:rsidP="00907367">
      <w:pPr>
        <w:rPr>
          <w:rFonts w:cs="Calibri Light"/>
          <w:lang w:val="sq-AL"/>
        </w:rPr>
      </w:pPr>
    </w:p>
    <w:p w14:paraId="56DDFA1B" w14:textId="367809CB" w:rsidR="00555ED9" w:rsidRPr="00082FA3" w:rsidRDefault="00555ED9" w:rsidP="00497792">
      <w:pPr>
        <w:pStyle w:val="ListParagraph"/>
        <w:numPr>
          <w:ilvl w:val="0"/>
          <w:numId w:val="2"/>
        </w:numPr>
        <w:rPr>
          <w:rFonts w:cs="Calibri Light"/>
          <w:lang w:val="sq-AL"/>
        </w:rPr>
      </w:pPr>
      <w:r w:rsidRPr="00082FA3">
        <w:rPr>
          <w:rFonts w:cs="Calibri Light"/>
          <w:lang w:val="sq-AL"/>
        </w:rPr>
        <w:t>Janë vendosur standarde për përfshirjen e shoqërisë civile në hartimin e politikave dhe leg</w:t>
      </w:r>
      <w:r w:rsidR="00497792" w:rsidRPr="00082FA3">
        <w:rPr>
          <w:rFonts w:cs="Calibri Light"/>
          <w:lang w:val="sq-AL"/>
        </w:rPr>
        <w:t xml:space="preserve">jislacionit publik. </w:t>
      </w:r>
      <w:hyperlink r:id="rId18" w:history="1">
        <w:r w:rsidR="00497792" w:rsidRPr="00082FA3">
          <w:rPr>
            <w:rStyle w:val="Hyperlink"/>
            <w:rFonts w:cs="Calibri Light"/>
            <w:lang w:val="sq-AL"/>
          </w:rPr>
          <w:t>Platforma online</w:t>
        </w:r>
        <w:r w:rsidR="00636AC0" w:rsidRPr="00082FA3">
          <w:rPr>
            <w:rStyle w:val="Hyperlink"/>
            <w:rFonts w:cs="Calibri Light"/>
            <w:lang w:val="sq-AL"/>
          </w:rPr>
          <w:t>/</w:t>
        </w:r>
        <w:r w:rsidRPr="00082FA3">
          <w:rPr>
            <w:rStyle w:val="Hyperlink"/>
            <w:rFonts w:cs="Calibri Light"/>
            <w:lang w:val="sq-AL"/>
          </w:rPr>
          <w:t>Baza e të Dhënave për Konsultimin Publik</w:t>
        </w:r>
      </w:hyperlink>
      <w:r w:rsidRPr="00082FA3">
        <w:rPr>
          <w:rFonts w:cs="Calibri Light"/>
          <w:lang w:val="sq-AL"/>
        </w:rPr>
        <w:t xml:space="preserve"> është </w:t>
      </w:r>
      <w:r w:rsidR="00497792" w:rsidRPr="00082FA3">
        <w:rPr>
          <w:rFonts w:cs="Calibri Light"/>
          <w:lang w:val="sq-AL"/>
        </w:rPr>
        <w:t>dizajnuar</w:t>
      </w:r>
      <w:r w:rsidRPr="00082FA3">
        <w:rPr>
          <w:rFonts w:cs="Calibri Light"/>
          <w:lang w:val="sq-AL"/>
        </w:rPr>
        <w:t xml:space="preserve"> dhe</w:t>
      </w:r>
      <w:r w:rsidR="00497792" w:rsidRPr="00082FA3">
        <w:rPr>
          <w:rFonts w:cs="Calibri Light"/>
          <w:lang w:val="sq-AL"/>
        </w:rPr>
        <w:t xml:space="preserve"> lansuar</w:t>
      </w:r>
      <w:r w:rsidRPr="00082FA3">
        <w:rPr>
          <w:rFonts w:cs="Calibri Light"/>
          <w:lang w:val="sq-AL"/>
        </w:rPr>
        <w:t xml:space="preserve"> në janar 2017, </w:t>
      </w:r>
      <w:r w:rsidR="00497792" w:rsidRPr="00082FA3">
        <w:rPr>
          <w:rFonts w:cs="Calibri Light"/>
          <w:lang w:val="sq-AL"/>
        </w:rPr>
        <w:t xml:space="preserve">ku të gjitha palët </w:t>
      </w:r>
      <w:r w:rsidRPr="00082FA3">
        <w:rPr>
          <w:rFonts w:cs="Calibri Light"/>
          <w:lang w:val="sq-AL"/>
        </w:rPr>
        <w:t xml:space="preserve">e shoqërisë civile dhe publiku i përgjithshëm kanë të drejtë të regjistrohen nëse janë të interesuar </w:t>
      </w:r>
      <w:r w:rsidR="00497792" w:rsidRPr="00082FA3">
        <w:rPr>
          <w:rFonts w:cs="Calibri Light"/>
          <w:lang w:val="sq-AL"/>
        </w:rPr>
        <w:t xml:space="preserve">dhe </w:t>
      </w:r>
      <w:r w:rsidRPr="00082FA3">
        <w:rPr>
          <w:rFonts w:cs="Calibri Light"/>
          <w:lang w:val="sq-AL"/>
        </w:rPr>
        <w:t>të konsultohen për hartimin e politikave ose ligjeve të caktuara</w:t>
      </w:r>
      <w:r w:rsidR="00497792" w:rsidRPr="00082FA3">
        <w:rPr>
          <w:rStyle w:val="FootnoteReference"/>
          <w:rFonts w:cs="Calibri Light"/>
          <w:lang w:val="sq-AL"/>
        </w:rPr>
        <w:footnoteReference w:id="15"/>
      </w:r>
      <w:r w:rsidRPr="00082FA3">
        <w:rPr>
          <w:rFonts w:cs="Calibri Light"/>
          <w:lang w:val="sq-AL"/>
        </w:rPr>
        <w:t xml:space="preserve">. Përveç kësaj, </w:t>
      </w:r>
      <w:r w:rsidR="00497792" w:rsidRPr="00082FA3">
        <w:rPr>
          <w:rFonts w:cs="Calibri Light"/>
          <w:lang w:val="sq-AL"/>
        </w:rPr>
        <w:t xml:space="preserve">është miratuar </w:t>
      </w:r>
      <w:hyperlink r:id="rId19" w:history="1">
        <w:r w:rsidRPr="00082FA3">
          <w:rPr>
            <w:rStyle w:val="Hyperlink"/>
            <w:rFonts w:cs="Calibri Light"/>
            <w:lang w:val="sq-AL"/>
          </w:rPr>
          <w:t>Rregullorja për Standardet Minimale për Procesin e Konsultimit Publik</w:t>
        </w:r>
      </w:hyperlink>
      <w:r w:rsidRPr="00082FA3">
        <w:rPr>
          <w:rFonts w:cs="Calibri Light"/>
          <w:lang w:val="sq-AL"/>
        </w:rPr>
        <w:t xml:space="preserve"> (Nr. 05/2016) në </w:t>
      </w:r>
      <w:r w:rsidRPr="00082FA3">
        <w:rPr>
          <w:rFonts w:cs="Calibri Light"/>
          <w:b/>
          <w:lang w:val="sq-AL"/>
        </w:rPr>
        <w:t>prill të vitit 2016</w:t>
      </w:r>
      <w:r w:rsidRPr="00082FA3">
        <w:rPr>
          <w:rFonts w:cs="Calibri Light"/>
          <w:lang w:val="sq-AL"/>
        </w:rPr>
        <w:t xml:space="preserve">. Fillimisht, draft rregullorja është përgatitur nga Fondacioni Kosovar për Shoqëri Civile (KCSF) dhe më në fund është miratuar nga ZKM </w:t>
      </w:r>
      <w:r w:rsidR="00497792" w:rsidRPr="00082FA3">
        <w:rPr>
          <w:rFonts w:cs="Calibri Light"/>
          <w:lang w:val="sq-AL"/>
        </w:rPr>
        <w:t xml:space="preserve">pasi ka qene </w:t>
      </w:r>
      <w:r w:rsidRPr="00082FA3">
        <w:rPr>
          <w:rFonts w:cs="Calibri Light"/>
          <w:lang w:val="sq-AL"/>
        </w:rPr>
        <w:t>subjekt i një procesi të konsultimit publik dhe i shqyrtuar nga Zyra Ligjore e ZKM</w:t>
      </w:r>
      <w:r w:rsidR="00497792" w:rsidRPr="00082FA3">
        <w:rPr>
          <w:rFonts w:cs="Calibri Light"/>
          <w:lang w:val="sq-AL"/>
        </w:rPr>
        <w:t>-së</w:t>
      </w:r>
      <w:r w:rsidR="00497792" w:rsidRPr="00082FA3">
        <w:rPr>
          <w:rStyle w:val="FootnoteReference"/>
          <w:rFonts w:cs="Calibri Light"/>
          <w:lang w:val="sq-AL"/>
        </w:rPr>
        <w:footnoteReference w:id="16"/>
      </w:r>
      <w:r w:rsidRPr="00082FA3">
        <w:rPr>
          <w:rFonts w:cs="Calibri Light"/>
          <w:lang w:val="sq-AL"/>
        </w:rPr>
        <w:t>.</w:t>
      </w:r>
      <w:r w:rsidR="00C33CC3" w:rsidRPr="00082FA3">
        <w:rPr>
          <w:rFonts w:cs="Calibri Light"/>
          <w:lang w:val="sq-AL"/>
        </w:rPr>
        <w:t xml:space="preserve"> KCSF në fillim ka bërë një analizë ligjore për standardet minimale të cilën e ka prezantuar në qeveri në formë të një propozimi për zhvillim të politikës.</w:t>
      </w:r>
      <w:r w:rsidRPr="00082FA3">
        <w:rPr>
          <w:rFonts w:cs="Calibri Light"/>
          <w:lang w:val="sq-AL"/>
        </w:rPr>
        <w:t xml:space="preserve"> Si platforma ashtu edhe Rregullorja janë promovuar nëpërmjet faqes së internetit të ZQM</w:t>
      </w:r>
      <w:r w:rsidR="00497792" w:rsidRPr="00082FA3">
        <w:rPr>
          <w:rFonts w:cs="Calibri Light"/>
          <w:lang w:val="sq-AL"/>
        </w:rPr>
        <w:t>-së</w:t>
      </w:r>
      <w:r w:rsidRPr="00082FA3">
        <w:rPr>
          <w:rFonts w:cs="Calibri Light"/>
          <w:lang w:val="sq-AL"/>
        </w:rPr>
        <w:t xml:space="preserve">, </w:t>
      </w:r>
      <w:r w:rsidR="00497792" w:rsidRPr="00082FA3">
        <w:rPr>
          <w:rFonts w:cs="Calibri Light"/>
          <w:lang w:val="sq-AL"/>
        </w:rPr>
        <w:t>rrjeteve</w:t>
      </w:r>
      <w:r w:rsidRPr="00082FA3">
        <w:rPr>
          <w:rFonts w:cs="Calibri Light"/>
          <w:lang w:val="sq-AL"/>
        </w:rPr>
        <w:t xml:space="preserve"> sociale dhe aktiviteteve </w:t>
      </w:r>
      <w:r w:rsidR="00497792" w:rsidRPr="00082FA3">
        <w:rPr>
          <w:rFonts w:cs="Calibri Light"/>
          <w:lang w:val="sq-AL"/>
        </w:rPr>
        <w:t>në terren</w:t>
      </w:r>
      <w:r w:rsidRPr="00082FA3">
        <w:rPr>
          <w:rFonts w:cs="Calibri Light"/>
          <w:lang w:val="sq-AL"/>
        </w:rPr>
        <w:t>.</w:t>
      </w:r>
    </w:p>
    <w:p w14:paraId="37790345" w14:textId="4F1B3975" w:rsidR="008E1A5F" w:rsidRPr="00082FA3" w:rsidRDefault="008E1A5F" w:rsidP="0070044A">
      <w:pPr>
        <w:pStyle w:val="ListParagraph"/>
        <w:rPr>
          <w:rFonts w:cs="Calibri Light"/>
          <w:lang w:val="sq-AL"/>
        </w:rPr>
      </w:pPr>
    </w:p>
    <w:p w14:paraId="291D4A95" w14:textId="103F5E84" w:rsidR="00497792" w:rsidRPr="00082FA3" w:rsidRDefault="00497792" w:rsidP="00497792">
      <w:pPr>
        <w:pStyle w:val="ListParagraph"/>
        <w:numPr>
          <w:ilvl w:val="0"/>
          <w:numId w:val="2"/>
        </w:numPr>
        <w:rPr>
          <w:rFonts w:cs="Calibri Light"/>
          <w:lang w:val="sq-AL"/>
        </w:rPr>
      </w:pPr>
      <w:r w:rsidRPr="00082FA3">
        <w:rPr>
          <w:rFonts w:cs="Calibri Light"/>
          <w:lang w:val="sq-AL"/>
        </w:rPr>
        <w:t xml:space="preserve">Kapacitetet e nëpunësve civilë dhe përfaqësuesve të shoqërisë civile janë rritur në fushën e hartimit dhe zbatimit të politikave dhe legjislacionit publik. Është bërë një </w:t>
      </w:r>
      <w:r w:rsidRPr="00082FA3">
        <w:rPr>
          <w:rFonts w:cs="Calibri Light"/>
          <w:b/>
          <w:lang w:val="sq-AL"/>
        </w:rPr>
        <w:t>vlerësim i nevojave</w:t>
      </w:r>
      <w:r w:rsidRPr="00082FA3">
        <w:rPr>
          <w:rFonts w:cs="Calibri Light"/>
          <w:lang w:val="sq-AL"/>
        </w:rPr>
        <w:t xml:space="preserve"> para dizajnimit të një program trajnimi për nëpunësit civilë dhe përfaqësuesit e shoqërisë civile. Programi i trajnimit përbëhej nga module të përgjithshme te lidhura me objektivat strategjike të Strategjisë dhe module specifike që përfshinin Platformën online / Bazën e të Dhënave dhe Rregulloren. Programi i trajnimit është organizuar në </w:t>
      </w:r>
      <w:r w:rsidR="00590D6B" w:rsidRPr="00082FA3">
        <w:rPr>
          <w:rFonts w:cs="Calibri Light"/>
          <w:b/>
          <w:lang w:val="sq-AL"/>
        </w:rPr>
        <w:t>tremujorin</w:t>
      </w:r>
      <w:r w:rsidRPr="00082FA3">
        <w:rPr>
          <w:rFonts w:cs="Calibri Light"/>
          <w:b/>
          <w:lang w:val="sq-AL"/>
        </w:rPr>
        <w:t xml:space="preserve"> e fundit</w:t>
      </w:r>
      <w:r w:rsidRPr="00082FA3">
        <w:rPr>
          <w:rFonts w:cs="Calibri Light"/>
          <w:lang w:val="sq-AL"/>
        </w:rPr>
        <w:t xml:space="preserve"> të vitit 2016 dhe në </w:t>
      </w:r>
      <w:r w:rsidR="00590D6B" w:rsidRPr="00082FA3">
        <w:rPr>
          <w:rFonts w:cs="Calibri Light"/>
          <w:b/>
          <w:lang w:val="sq-AL"/>
        </w:rPr>
        <w:t xml:space="preserve">tremujorin </w:t>
      </w:r>
      <w:r w:rsidRPr="00082FA3">
        <w:rPr>
          <w:rFonts w:cs="Calibri Light"/>
          <w:b/>
          <w:lang w:val="sq-AL"/>
        </w:rPr>
        <w:t>e parë</w:t>
      </w:r>
      <w:r w:rsidRPr="00082FA3">
        <w:rPr>
          <w:rFonts w:cs="Calibri Light"/>
          <w:lang w:val="sq-AL"/>
        </w:rPr>
        <w:t xml:space="preserve"> të vitit 2017. Trajnimi për nëpunës civilë është realizuar nga Instituti Kosovar për Administratë Publike (IKAP) dhe për shoqërinë civile nga Fondacioni Ko</w:t>
      </w:r>
      <w:r w:rsidR="00636AC0" w:rsidRPr="00082FA3">
        <w:rPr>
          <w:rFonts w:cs="Calibri Light"/>
          <w:lang w:val="sq-AL"/>
        </w:rPr>
        <w:t xml:space="preserve">sovar për Shoqëri Civile (KCSF).  </w:t>
      </w:r>
    </w:p>
    <w:p w14:paraId="63C2F0CC" w14:textId="77777777" w:rsidR="00497792" w:rsidRPr="00082FA3" w:rsidRDefault="00497792" w:rsidP="00497792">
      <w:pPr>
        <w:pStyle w:val="ListParagraph"/>
        <w:rPr>
          <w:rFonts w:cs="Calibri Light"/>
          <w:lang w:val="sq-AL"/>
        </w:rPr>
      </w:pPr>
    </w:p>
    <w:p w14:paraId="54293C7C" w14:textId="72002D4B" w:rsidR="00590D6B" w:rsidRPr="00082FA3" w:rsidRDefault="00361217" w:rsidP="00590D6B">
      <w:pPr>
        <w:pStyle w:val="ListParagraph"/>
        <w:numPr>
          <w:ilvl w:val="0"/>
          <w:numId w:val="2"/>
        </w:numPr>
        <w:rPr>
          <w:rFonts w:cs="Calibri Light"/>
          <w:lang w:val="sq-AL"/>
        </w:rPr>
      </w:pPr>
      <w:hyperlink r:id="rId20" w:history="1">
        <w:r w:rsidR="00590D6B" w:rsidRPr="00082FA3">
          <w:rPr>
            <w:rStyle w:val="Hyperlink"/>
            <w:rFonts w:cs="Calibri Light"/>
            <w:lang w:val="sq-AL"/>
          </w:rPr>
          <w:t>Metodologjia e Monitorimit dhe Raportimit për Konsultimin Publik</w:t>
        </w:r>
      </w:hyperlink>
      <w:r w:rsidR="00590D6B" w:rsidRPr="00082FA3">
        <w:rPr>
          <w:rFonts w:cs="Calibri Light"/>
          <w:lang w:val="sq-AL"/>
        </w:rPr>
        <w:t>. Më në fund, është miratuar metodologjia në prill të vitit 2017 dhe është vënë në praktikë me qëllim të lehtësimit, koordinimit dhe standardizimit të mekanizmave të monitorimit dhe raportimit. Sistemi shpjegon se si punon procesi i monitorimit dhe raportimit dhe përcakton rolin dhe përgjegjësitë e secilit institucion. Shabllonet e raportimit janë të bashkangjitura në sistem dhe janë përdorur nga institucionet përgjegjëse. Zbatimi i Platformës Online dhe Rregullorja për Standardet Minimale është monitoruar duke filluar nga tremujori i parë dhe i dytë i vitit 2017.</w:t>
      </w:r>
    </w:p>
    <w:p w14:paraId="4D0230B2" w14:textId="77777777" w:rsidR="00590D6B" w:rsidRPr="00082FA3" w:rsidRDefault="00590D6B" w:rsidP="00590D6B">
      <w:pPr>
        <w:pStyle w:val="ListParagraph"/>
        <w:rPr>
          <w:rFonts w:cs="Calibri Light"/>
          <w:lang w:val="sq-AL"/>
        </w:rPr>
      </w:pPr>
    </w:p>
    <w:p w14:paraId="71674C2B" w14:textId="495C34E6" w:rsidR="00590D6B" w:rsidRPr="00082FA3" w:rsidRDefault="00590D6B" w:rsidP="00407A65">
      <w:pPr>
        <w:rPr>
          <w:rFonts w:cs="Calibri Light"/>
          <w:lang w:val="sq-AL"/>
        </w:rPr>
      </w:pPr>
      <w:r w:rsidRPr="00082FA3">
        <w:rPr>
          <w:rFonts w:cs="Calibri Light"/>
          <w:lang w:val="sq-AL"/>
        </w:rPr>
        <w:t xml:space="preserve">Në kontrast nga vlerësimet e matricës së monitorimit, sistemi i vlerësimit me semafor tregon se duhet ndërmarrë veprime të caktuara për të arritur nivelin e progresit të raportuar nga Sekretariati. Siç tregohet në tabelën në vijim, nën-objektivat nuk arrijnë një nivel të kënaqshëm zbatimi. Shumica e aktiviteteve të </w:t>
      </w:r>
      <w:r w:rsidRPr="00082FA3">
        <w:rPr>
          <w:rFonts w:cs="Calibri Light"/>
          <w:lang w:val="sq-AL"/>
        </w:rPr>
        <w:lastRenderedPageBreak/>
        <w:t>mbetura ri-vonohen për ndryshimin / plotësimin e ligjeve dhe për të arritur efektet praktike të Rregullores dhe Platformës Online.</w:t>
      </w:r>
    </w:p>
    <w:p w14:paraId="6E2E4931" w14:textId="77777777" w:rsidR="00636AC0" w:rsidRPr="00082FA3" w:rsidRDefault="00636AC0" w:rsidP="00407A65">
      <w:pPr>
        <w:rPr>
          <w:rFonts w:cs="Calibri Light"/>
          <w:lang w:val="sq-AL"/>
        </w:rPr>
      </w:pPr>
    </w:p>
    <w:tbl>
      <w:tblPr>
        <w:tblStyle w:val="TableGridLight1"/>
        <w:tblW w:w="9085" w:type="dxa"/>
        <w:tblLook w:val="04A0" w:firstRow="1" w:lastRow="0" w:firstColumn="1" w:lastColumn="0" w:noHBand="0" w:noVBand="1"/>
      </w:tblPr>
      <w:tblGrid>
        <w:gridCol w:w="708"/>
        <w:gridCol w:w="4994"/>
        <w:gridCol w:w="3383"/>
      </w:tblGrid>
      <w:tr w:rsidR="002B4B74" w:rsidRPr="00082FA3" w14:paraId="576D3596" w14:textId="77777777" w:rsidTr="009659D6">
        <w:trPr>
          <w:trHeight w:val="488"/>
        </w:trPr>
        <w:tc>
          <w:tcPr>
            <w:tcW w:w="708" w:type="dxa"/>
            <w:shd w:val="clear" w:color="auto" w:fill="F2F2F2" w:themeFill="background1" w:themeFillShade="F2"/>
            <w:vAlign w:val="center"/>
          </w:tcPr>
          <w:p w14:paraId="4013FAEA" w14:textId="7B362463" w:rsidR="002B4B74" w:rsidRPr="00082FA3" w:rsidRDefault="002B4B74" w:rsidP="002B4B74">
            <w:pPr>
              <w:jc w:val="center"/>
              <w:rPr>
                <w:rFonts w:cs="Calibri Light"/>
                <w:sz w:val="18"/>
                <w:szCs w:val="18"/>
                <w:lang w:val="sq-AL"/>
              </w:rPr>
            </w:pPr>
            <w:r w:rsidRPr="00082FA3">
              <w:rPr>
                <w:rFonts w:cs="Calibri Light"/>
                <w:sz w:val="18"/>
                <w:szCs w:val="18"/>
                <w:lang w:val="sq-AL"/>
              </w:rPr>
              <w:br/>
            </w:r>
          </w:p>
        </w:tc>
        <w:tc>
          <w:tcPr>
            <w:tcW w:w="4994" w:type="dxa"/>
            <w:shd w:val="clear" w:color="auto" w:fill="F2F2F2" w:themeFill="background1" w:themeFillShade="F2"/>
            <w:vAlign w:val="center"/>
          </w:tcPr>
          <w:p w14:paraId="598DCB02" w14:textId="376041F9" w:rsidR="002B4B74" w:rsidRPr="00082FA3" w:rsidRDefault="00590D6B" w:rsidP="002B4B74">
            <w:pPr>
              <w:rPr>
                <w:rFonts w:cs="Calibri Light"/>
                <w:sz w:val="18"/>
                <w:szCs w:val="18"/>
                <w:lang w:val="sq-AL"/>
              </w:rPr>
            </w:pPr>
            <w:r w:rsidRPr="00082FA3">
              <w:rPr>
                <w:rFonts w:cs="Calibri Light"/>
                <w:szCs w:val="20"/>
                <w:lang w:val="sq-AL"/>
              </w:rPr>
              <w:t>Objektivi</w:t>
            </w:r>
            <w:r w:rsidR="002B4B74" w:rsidRPr="00082FA3">
              <w:rPr>
                <w:rFonts w:cs="Calibri Light"/>
                <w:szCs w:val="20"/>
                <w:lang w:val="sq-AL"/>
              </w:rPr>
              <w:t xml:space="preserve"> </w:t>
            </w:r>
          </w:p>
        </w:tc>
        <w:tc>
          <w:tcPr>
            <w:tcW w:w="3383" w:type="dxa"/>
            <w:shd w:val="clear" w:color="auto" w:fill="F2F2F2" w:themeFill="background1" w:themeFillShade="F2"/>
            <w:vAlign w:val="center"/>
          </w:tcPr>
          <w:p w14:paraId="2FB1EA10" w14:textId="7B789C00" w:rsidR="002B4B74" w:rsidRPr="00082FA3" w:rsidRDefault="00590D6B" w:rsidP="002B4B74">
            <w:pPr>
              <w:rPr>
                <w:rFonts w:cs="Calibri Light"/>
                <w:lang w:val="sq-AL"/>
              </w:rPr>
            </w:pPr>
            <w:r w:rsidRPr="00082FA3">
              <w:rPr>
                <w:rFonts w:cs="Calibri Light"/>
                <w:szCs w:val="20"/>
                <w:lang w:val="sq-AL"/>
              </w:rPr>
              <w:t>Veprimi</w:t>
            </w:r>
            <w:r w:rsidR="002B4B74" w:rsidRPr="00082FA3">
              <w:rPr>
                <w:rFonts w:cs="Calibri Light"/>
                <w:szCs w:val="20"/>
                <w:lang w:val="sq-AL"/>
              </w:rPr>
              <w:t xml:space="preserve"> </w:t>
            </w:r>
          </w:p>
        </w:tc>
      </w:tr>
      <w:tr w:rsidR="002B4B74" w:rsidRPr="00082FA3" w14:paraId="4B26FE0B" w14:textId="77777777" w:rsidTr="009659D6">
        <w:trPr>
          <w:trHeight w:val="488"/>
        </w:trPr>
        <w:tc>
          <w:tcPr>
            <w:tcW w:w="708" w:type="dxa"/>
            <w:shd w:val="clear" w:color="auto" w:fill="F2F2F2" w:themeFill="background1" w:themeFillShade="F2"/>
          </w:tcPr>
          <w:p w14:paraId="5A63114E" w14:textId="7704A6FC" w:rsidR="002B4B74" w:rsidRPr="00082FA3" w:rsidRDefault="002B4B74" w:rsidP="005017C2">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75648" behindDoc="0" locked="0" layoutInCell="1" allowOverlap="1" wp14:anchorId="0886FC53" wp14:editId="5B82A825">
                      <wp:simplePos x="0" y="0"/>
                      <wp:positionH relativeFrom="column">
                        <wp:posOffset>57150</wp:posOffset>
                      </wp:positionH>
                      <wp:positionV relativeFrom="paragraph">
                        <wp:posOffset>38735</wp:posOffset>
                      </wp:positionV>
                      <wp:extent cx="236220" cy="228600"/>
                      <wp:effectExtent l="0" t="0" r="11430" b="19050"/>
                      <wp:wrapNone/>
                      <wp:docPr id="2" name="Flowchart: Connector 2"/>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1D671B" id="Flowchart: Connector 2" o:spid="_x0000_s1026" type="#_x0000_t120" style="position:absolute;margin-left:4.5pt;margin-top:3.05pt;width:18.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" fillcolor="yellow" strokecolor="#7f7f7f [1612]" strokeweight="2pt"/>
                  </w:pict>
                </mc:Fallback>
              </mc:AlternateContent>
            </w:r>
          </w:p>
        </w:tc>
        <w:tc>
          <w:tcPr>
            <w:tcW w:w="4994" w:type="dxa"/>
          </w:tcPr>
          <w:p w14:paraId="259BD140" w14:textId="12394ECE" w:rsidR="002B4B74" w:rsidRPr="00082FA3" w:rsidRDefault="00590D6B" w:rsidP="002B4B74">
            <w:pPr>
              <w:rPr>
                <w:rFonts w:cs="Calibri Light"/>
                <w:sz w:val="18"/>
                <w:szCs w:val="18"/>
                <w:lang w:val="sq-AL"/>
              </w:rPr>
            </w:pPr>
            <w:r w:rsidRPr="00082FA3">
              <w:rPr>
                <w:rFonts w:cs="Calibri Light"/>
                <w:sz w:val="18"/>
                <w:szCs w:val="18"/>
                <w:lang w:val="sq-AL"/>
              </w:rPr>
              <w:t xml:space="preserve">Draftimi / plotësimi i legjislacionit bazë / duke iu referuar përfshirjes së OShC-ve në zhvillimin </w:t>
            </w:r>
          </w:p>
        </w:tc>
        <w:tc>
          <w:tcPr>
            <w:tcW w:w="3383" w:type="dxa"/>
          </w:tcPr>
          <w:p w14:paraId="469E8A28" w14:textId="23A87327" w:rsidR="002B4B74" w:rsidRPr="00082FA3" w:rsidRDefault="00590D6B" w:rsidP="009659D6">
            <w:pPr>
              <w:rPr>
                <w:rFonts w:cs="Calibri Light"/>
                <w:sz w:val="18"/>
                <w:szCs w:val="18"/>
                <w:lang w:val="sq-AL"/>
              </w:rPr>
            </w:pPr>
            <w:r w:rsidRPr="00082FA3">
              <w:rPr>
                <w:rFonts w:cs="Calibri Light"/>
                <w:sz w:val="18"/>
                <w:szCs w:val="18"/>
                <w:lang w:val="sq-AL"/>
              </w:rPr>
              <w:t>Analiza ligjore duhet të kryhet dhe të bëhen ndryshimet e nevojshme</w:t>
            </w:r>
          </w:p>
        </w:tc>
      </w:tr>
      <w:tr w:rsidR="002B4B74" w:rsidRPr="00082FA3" w14:paraId="2830FF5E" w14:textId="77777777" w:rsidTr="009659D6">
        <w:trPr>
          <w:trHeight w:val="476"/>
        </w:trPr>
        <w:tc>
          <w:tcPr>
            <w:tcW w:w="708" w:type="dxa"/>
            <w:shd w:val="clear" w:color="auto" w:fill="F2F2F2" w:themeFill="background1" w:themeFillShade="F2"/>
          </w:tcPr>
          <w:p w14:paraId="344A42D8" w14:textId="5F89FDA9" w:rsidR="002B4B74" w:rsidRPr="00082FA3" w:rsidRDefault="002B4B74" w:rsidP="005017C2">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76672" behindDoc="0" locked="0" layoutInCell="1" allowOverlap="1" wp14:anchorId="4BD51316" wp14:editId="1FE8D7CA">
                      <wp:simplePos x="0" y="0"/>
                      <wp:positionH relativeFrom="column">
                        <wp:posOffset>54610</wp:posOffset>
                      </wp:positionH>
                      <wp:positionV relativeFrom="paragraph">
                        <wp:posOffset>45085</wp:posOffset>
                      </wp:positionV>
                      <wp:extent cx="236220" cy="228600"/>
                      <wp:effectExtent l="0" t="0" r="11430" b="19050"/>
                      <wp:wrapNone/>
                      <wp:docPr id="4" name="Flowchart: Connector 4"/>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D0CA04" id="Flowchart: Connector 4" o:spid="_x0000_s1026" type="#_x0000_t120" style="position:absolute;margin-left:4.3pt;margin-top:3.55pt;width:18.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" fillcolor="yellow" strokecolor="#7f7f7f [1612]" strokeweight="2pt"/>
                  </w:pict>
                </mc:Fallback>
              </mc:AlternateContent>
            </w:r>
          </w:p>
        </w:tc>
        <w:tc>
          <w:tcPr>
            <w:tcW w:w="4994" w:type="dxa"/>
          </w:tcPr>
          <w:p w14:paraId="1FF3384E" w14:textId="3B90FE7E" w:rsidR="002B4B74" w:rsidRPr="00082FA3" w:rsidRDefault="00FD678B" w:rsidP="002B4B74">
            <w:pPr>
              <w:rPr>
                <w:rFonts w:cs="Calibri Light"/>
                <w:sz w:val="18"/>
                <w:szCs w:val="18"/>
                <w:lang w:val="sq-AL"/>
              </w:rPr>
            </w:pPr>
            <w:r w:rsidRPr="00082FA3">
              <w:rPr>
                <w:rFonts w:cs="Calibri Light"/>
                <w:sz w:val="18"/>
                <w:szCs w:val="18"/>
                <w:lang w:val="sq-AL"/>
              </w:rPr>
              <w:t>Vendosja e standardeve të përfshirjes së OSHC-ve në hartimin e politikave dhe legjislacionit</w:t>
            </w:r>
          </w:p>
        </w:tc>
        <w:tc>
          <w:tcPr>
            <w:tcW w:w="3383" w:type="dxa"/>
          </w:tcPr>
          <w:p w14:paraId="01DD7729" w14:textId="5D6AA3AC" w:rsidR="002B4B74" w:rsidRPr="00082FA3" w:rsidRDefault="00FD678B" w:rsidP="009659D6">
            <w:pPr>
              <w:rPr>
                <w:rFonts w:cs="Calibri Light"/>
                <w:sz w:val="18"/>
                <w:szCs w:val="18"/>
                <w:lang w:val="sq-AL"/>
              </w:rPr>
            </w:pPr>
            <w:r w:rsidRPr="00082FA3">
              <w:rPr>
                <w:rFonts w:cs="Calibri Light"/>
                <w:sz w:val="18"/>
                <w:szCs w:val="18"/>
                <w:lang w:val="sq-AL"/>
              </w:rPr>
              <w:t xml:space="preserve">Rregullorja duhet të zbatohet në një gamë me të </w:t>
            </w:r>
            <w:r w:rsidR="00954620" w:rsidRPr="00082FA3">
              <w:rPr>
                <w:rFonts w:cs="Calibri Light"/>
                <w:sz w:val="18"/>
                <w:szCs w:val="18"/>
                <w:lang w:val="sq-AL"/>
              </w:rPr>
              <w:t>gjere</w:t>
            </w:r>
          </w:p>
        </w:tc>
      </w:tr>
      <w:tr w:rsidR="002B4B74" w:rsidRPr="00082FA3" w14:paraId="610798DD" w14:textId="77777777" w:rsidTr="009659D6">
        <w:trPr>
          <w:trHeight w:val="488"/>
        </w:trPr>
        <w:tc>
          <w:tcPr>
            <w:tcW w:w="708" w:type="dxa"/>
            <w:shd w:val="clear" w:color="auto" w:fill="F2F2F2" w:themeFill="background1" w:themeFillShade="F2"/>
          </w:tcPr>
          <w:p w14:paraId="2FAEF554" w14:textId="696EACA6" w:rsidR="002B4B74" w:rsidRPr="00082FA3" w:rsidRDefault="002B4B74" w:rsidP="005017C2">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77696" behindDoc="0" locked="0" layoutInCell="1" allowOverlap="1" wp14:anchorId="55E24401" wp14:editId="017F3D9D">
                      <wp:simplePos x="0" y="0"/>
                      <wp:positionH relativeFrom="column">
                        <wp:posOffset>54610</wp:posOffset>
                      </wp:positionH>
                      <wp:positionV relativeFrom="paragraph">
                        <wp:posOffset>37970</wp:posOffset>
                      </wp:positionV>
                      <wp:extent cx="236220" cy="228600"/>
                      <wp:effectExtent l="0" t="0" r="11430" b="19050"/>
                      <wp:wrapNone/>
                      <wp:docPr id="5" name="Flowchart: Connector 5"/>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0833A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3pt;margin-top:3pt;width:18.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" fillcolor="yellow" strokecolor="#7f7f7f [1612]" strokeweight="2pt"/>
                  </w:pict>
                </mc:Fallback>
              </mc:AlternateContent>
            </w:r>
          </w:p>
        </w:tc>
        <w:tc>
          <w:tcPr>
            <w:tcW w:w="4994" w:type="dxa"/>
          </w:tcPr>
          <w:p w14:paraId="6606533B" w14:textId="7B48E5ED" w:rsidR="002B4B74" w:rsidRPr="00082FA3" w:rsidRDefault="00FD678B" w:rsidP="002B4B74">
            <w:pPr>
              <w:rPr>
                <w:rFonts w:cs="Calibri Light"/>
                <w:sz w:val="18"/>
                <w:szCs w:val="18"/>
                <w:lang w:val="sq-AL"/>
              </w:rPr>
            </w:pPr>
            <w:r w:rsidRPr="00082FA3">
              <w:rPr>
                <w:rFonts w:cs="Calibri Light"/>
                <w:sz w:val="18"/>
                <w:szCs w:val="18"/>
                <w:lang w:val="sq-AL"/>
              </w:rPr>
              <w:t>Ndërtimi i kapaciteteve profesionale të nëpunësve civilë dhe anëtarëve të OSHC-ve në hartimin</w:t>
            </w:r>
            <w:r w:rsidR="00C101E5" w:rsidRPr="00082FA3">
              <w:rPr>
                <w:rFonts w:cs="Calibri Light"/>
                <w:sz w:val="18"/>
                <w:szCs w:val="18"/>
                <w:lang w:val="sq-AL"/>
              </w:rPr>
              <w:t xml:space="preserve"> e politikave &amp;</w:t>
            </w:r>
            <w:r w:rsidRPr="00082FA3">
              <w:rPr>
                <w:rFonts w:cs="Calibri Light"/>
                <w:sz w:val="18"/>
                <w:szCs w:val="18"/>
                <w:lang w:val="sq-AL"/>
              </w:rPr>
              <w:t xml:space="preserve"> legjislacionit</w:t>
            </w:r>
          </w:p>
        </w:tc>
        <w:tc>
          <w:tcPr>
            <w:tcW w:w="3383" w:type="dxa"/>
          </w:tcPr>
          <w:p w14:paraId="61E67446" w14:textId="5B820DF1" w:rsidR="002B4B74" w:rsidRPr="00082FA3" w:rsidRDefault="00FD678B" w:rsidP="009659D6">
            <w:pPr>
              <w:rPr>
                <w:rFonts w:cs="Calibri Light"/>
                <w:sz w:val="18"/>
                <w:szCs w:val="18"/>
                <w:lang w:val="sq-AL"/>
              </w:rPr>
            </w:pPr>
            <w:r w:rsidRPr="00082FA3">
              <w:rPr>
                <w:rFonts w:cs="Calibri Light"/>
                <w:sz w:val="18"/>
                <w:szCs w:val="18"/>
                <w:lang w:val="sq-AL"/>
              </w:rPr>
              <w:t>Duhet të organizohen aktivitete të mëtejshme për ndërtimin e kapaciteteve</w:t>
            </w:r>
          </w:p>
        </w:tc>
      </w:tr>
      <w:tr w:rsidR="002B4B74" w:rsidRPr="00082FA3" w14:paraId="10DF5F30" w14:textId="77777777" w:rsidTr="009659D6">
        <w:trPr>
          <w:trHeight w:val="488"/>
        </w:trPr>
        <w:tc>
          <w:tcPr>
            <w:tcW w:w="708" w:type="dxa"/>
            <w:shd w:val="clear" w:color="auto" w:fill="F2F2F2" w:themeFill="background1" w:themeFillShade="F2"/>
          </w:tcPr>
          <w:p w14:paraId="1F55AF29" w14:textId="5AB15471" w:rsidR="002B4B74" w:rsidRPr="00082FA3" w:rsidRDefault="002B4B74" w:rsidP="005017C2">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78720" behindDoc="0" locked="0" layoutInCell="1" allowOverlap="1" wp14:anchorId="07480FE0" wp14:editId="7C74DF6B">
                      <wp:simplePos x="0" y="0"/>
                      <wp:positionH relativeFrom="column">
                        <wp:posOffset>57785</wp:posOffset>
                      </wp:positionH>
                      <wp:positionV relativeFrom="paragraph">
                        <wp:posOffset>45720</wp:posOffset>
                      </wp:positionV>
                      <wp:extent cx="236220" cy="228600"/>
                      <wp:effectExtent l="0" t="0" r="11430" b="19050"/>
                      <wp:wrapNone/>
                      <wp:docPr id="6" name="Flowchart: Connector 6"/>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7F8EFE" id="Flowchart: Connector 6" o:spid="_x0000_s1026" type="#_x0000_t120" style="position:absolute;margin-left:4.55pt;margin-top:3.6pt;width:18.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" fillcolor="#92d050" strokecolor="#7f7f7f [1612]" strokeweight="2pt"/>
                  </w:pict>
                </mc:Fallback>
              </mc:AlternateContent>
            </w:r>
          </w:p>
        </w:tc>
        <w:tc>
          <w:tcPr>
            <w:tcW w:w="4994" w:type="dxa"/>
          </w:tcPr>
          <w:p w14:paraId="352D89F1" w14:textId="033B6D7C" w:rsidR="002B4B74" w:rsidRPr="00082FA3" w:rsidRDefault="00495CA6" w:rsidP="002B4B74">
            <w:pPr>
              <w:rPr>
                <w:rFonts w:cs="Calibri Light"/>
                <w:sz w:val="18"/>
                <w:szCs w:val="18"/>
                <w:lang w:val="sq-AL"/>
              </w:rPr>
            </w:pPr>
            <w:r w:rsidRPr="00082FA3">
              <w:rPr>
                <w:rFonts w:cs="Calibri Light"/>
                <w:sz w:val="18"/>
                <w:szCs w:val="18"/>
                <w:lang w:val="sq-AL"/>
              </w:rPr>
              <w:t>Krijimi i sistemit të monitorimit dhe raportimit për përfshirjen e OSHC-ve</w:t>
            </w:r>
          </w:p>
        </w:tc>
        <w:tc>
          <w:tcPr>
            <w:tcW w:w="3383" w:type="dxa"/>
          </w:tcPr>
          <w:p w14:paraId="55DCC0DA" w14:textId="35F0EF71" w:rsidR="002B4B74" w:rsidRPr="00082FA3" w:rsidRDefault="00495CA6" w:rsidP="009659D6">
            <w:pPr>
              <w:rPr>
                <w:rFonts w:cs="Calibri Light"/>
                <w:sz w:val="18"/>
                <w:szCs w:val="18"/>
                <w:lang w:val="sq-AL"/>
              </w:rPr>
            </w:pPr>
            <w:r w:rsidRPr="00082FA3">
              <w:rPr>
                <w:rFonts w:cs="Calibri Light"/>
                <w:sz w:val="18"/>
                <w:szCs w:val="18"/>
                <w:lang w:val="sq-AL"/>
              </w:rPr>
              <w:t>Sistemi i M&amp;R është krijuar dhe po shfrytëzohet</w:t>
            </w:r>
          </w:p>
        </w:tc>
      </w:tr>
    </w:tbl>
    <w:p w14:paraId="0CE39C5F" w14:textId="376A0184" w:rsidR="00C33CC3" w:rsidRPr="00082FA3" w:rsidRDefault="00C33CC3" w:rsidP="00AC62E8">
      <w:pPr>
        <w:rPr>
          <w:rFonts w:cs="Calibri Light"/>
          <w:lang w:val="sq-AL"/>
        </w:rPr>
      </w:pPr>
    </w:p>
    <w:p w14:paraId="59877545" w14:textId="77777777" w:rsidR="00A404E9" w:rsidRDefault="00E23437" w:rsidP="00AC62E8">
      <w:pPr>
        <w:rPr>
          <w:rFonts w:cs="Calibri Light"/>
          <w:lang w:val="sq-AL"/>
        </w:rPr>
      </w:pPr>
      <w:r w:rsidRPr="00082FA3">
        <w:rPr>
          <w:rFonts w:cs="Calibri Light"/>
          <w:b/>
          <w:lang w:val="sq-AL"/>
        </w:rPr>
        <w:t xml:space="preserve">Çfarë nuk është arritur? </w:t>
      </w:r>
      <w:r w:rsidRPr="00082FA3">
        <w:rPr>
          <w:rFonts w:cs="Calibri Light"/>
          <w:lang w:val="sq-AL"/>
        </w:rPr>
        <w:t xml:space="preserve">Nën-objektivi i parë nuk është arritur. Amandamentimi i legjislacionit ekzistues për përforcimin e pjesëmarrjes së organizatave të shoqërisë civile (OSHC-të) politikëberje nuk është realizuar. Nuk është bërë një analizë ligjore, me përjashtim të KCSF-së, për identifikimin e çështjeve dhe rekomandimeve në fuqizimin e rolit të shoqërisë civile politikëberje që do të trajtoheshin përfundimisht me legjislacionin e ri. Nën-objektivat e mbetura janë akoma punë në progres. Zbatimi i Rregullores për vendosjen e kritereve dhe standardeve për konsultime publike duhet të përdoret më shumë dhe në aktivitete të vazhdueshme. Kjo do të kërkojë aktivitete të mëtejshme për ngritjen e kapaciteteve mbi rëndësinë e rolit të shoqërisë civile në politikëbërje dhe marrje të njohurive mbi përdorimin e Rregullores dhe Platformës Online. Eventualisht, duhet të zhvillohet dhe adaptohet një modul i veçantë për konsultimet publike si pjesë a modulit të trajnimit në IKAP. </w:t>
      </w:r>
    </w:p>
    <w:p w14:paraId="00DBC3F6" w14:textId="77777777" w:rsidR="00A404E9" w:rsidRDefault="00A404E9" w:rsidP="00AC62E8">
      <w:pPr>
        <w:rPr>
          <w:rFonts w:cs="Calibri Light"/>
          <w:lang w:val="sq-AL"/>
        </w:rPr>
      </w:pPr>
    </w:p>
    <w:p w14:paraId="473E11D1" w14:textId="5E416AA0" w:rsidR="00C94FB4" w:rsidRDefault="00A404E9" w:rsidP="00972C0F">
      <w:pPr>
        <w:rPr>
          <w:rFonts w:cs="Calibri Light"/>
          <w:lang w:val="sq-AL"/>
        </w:rPr>
      </w:pPr>
      <w:r w:rsidRPr="00A404E9">
        <w:rPr>
          <w:rFonts w:cs="Calibri Light"/>
          <w:lang w:val="sq-AL"/>
        </w:rPr>
        <w:t>Teknika e përdorur në identifikimin dhe analizimin e problemeve brenda këtij objektivi strategjik, ku faktorë të ndryshëm duket të jenë të ndërlidhura, është paraqitur si një analizë e shkakut rrënjësor, si në tabelën e mëposhtme.</w:t>
      </w:r>
    </w:p>
    <w:p w14:paraId="0EA470F1" w14:textId="1471AA6C" w:rsidR="00A404E9" w:rsidRDefault="00A404E9" w:rsidP="00972C0F">
      <w:pPr>
        <w:rPr>
          <w:rFonts w:cs="Calibri Light"/>
          <w:lang w:val="sq-AL"/>
        </w:rPr>
      </w:pPr>
    </w:p>
    <w:tbl>
      <w:tblPr>
        <w:tblStyle w:val="TableGrid"/>
        <w:tblW w:w="0" w:type="auto"/>
        <w:tblLook w:val="04A0" w:firstRow="1" w:lastRow="0" w:firstColumn="1" w:lastColumn="0" w:noHBand="0" w:noVBand="1"/>
      </w:tblPr>
      <w:tblGrid>
        <w:gridCol w:w="1809"/>
        <w:gridCol w:w="2552"/>
        <w:gridCol w:w="4927"/>
      </w:tblGrid>
      <w:tr w:rsidR="00A404E9" w:rsidRPr="008362F3" w14:paraId="7B17C03B" w14:textId="77777777" w:rsidTr="0043600A">
        <w:tc>
          <w:tcPr>
            <w:tcW w:w="1809" w:type="dxa"/>
            <w:vMerge w:val="restart"/>
          </w:tcPr>
          <w:p w14:paraId="622646C3" w14:textId="77777777" w:rsidR="00A404E9" w:rsidRPr="0043600A" w:rsidRDefault="00A404E9" w:rsidP="0043600A">
            <w:pPr>
              <w:jc w:val="center"/>
              <w:rPr>
                <w:rFonts w:cs="Segoe UI Semilight"/>
                <w:b/>
                <w:szCs w:val="20"/>
                <w:lang w:val="sq-AL"/>
              </w:rPr>
            </w:pPr>
            <w:bookmarkStart w:id="15" w:name="_Hlk500618153"/>
          </w:p>
          <w:p w14:paraId="7175A2D8" w14:textId="77777777" w:rsidR="00A404E9" w:rsidRPr="0043600A" w:rsidRDefault="00A404E9" w:rsidP="0043600A">
            <w:pPr>
              <w:jc w:val="center"/>
              <w:rPr>
                <w:rFonts w:cs="Segoe UI Semilight"/>
                <w:b/>
                <w:szCs w:val="20"/>
                <w:lang w:val="sq-AL"/>
              </w:rPr>
            </w:pPr>
          </w:p>
          <w:p w14:paraId="48F529E9" w14:textId="77777777" w:rsidR="00A404E9" w:rsidRPr="0043600A" w:rsidRDefault="00A404E9" w:rsidP="0043600A">
            <w:pPr>
              <w:jc w:val="center"/>
              <w:rPr>
                <w:rFonts w:cs="Segoe UI Semilight"/>
                <w:b/>
                <w:szCs w:val="20"/>
                <w:lang w:val="sq-AL"/>
              </w:rPr>
            </w:pPr>
          </w:p>
          <w:p w14:paraId="0055A9CA" w14:textId="77777777" w:rsidR="00A404E9" w:rsidRPr="0043600A" w:rsidRDefault="00A404E9" w:rsidP="0043600A">
            <w:pPr>
              <w:jc w:val="center"/>
              <w:rPr>
                <w:rFonts w:cs="Segoe UI Semilight"/>
                <w:b/>
                <w:szCs w:val="20"/>
                <w:lang w:val="sq-AL"/>
              </w:rPr>
            </w:pPr>
          </w:p>
          <w:p w14:paraId="715F4B33" w14:textId="77777777" w:rsidR="00A404E9" w:rsidRPr="0043600A" w:rsidRDefault="00A404E9" w:rsidP="0043600A">
            <w:pPr>
              <w:jc w:val="center"/>
              <w:rPr>
                <w:rFonts w:cs="Segoe UI Semilight"/>
                <w:b/>
                <w:szCs w:val="20"/>
                <w:lang w:val="sq-AL"/>
              </w:rPr>
            </w:pPr>
          </w:p>
          <w:p w14:paraId="6FD4D2CB" w14:textId="77777777" w:rsidR="00A404E9" w:rsidRPr="0043600A" w:rsidRDefault="00A404E9" w:rsidP="0043600A">
            <w:pPr>
              <w:jc w:val="center"/>
              <w:rPr>
                <w:rFonts w:cs="Segoe UI Semilight"/>
                <w:b/>
                <w:szCs w:val="20"/>
                <w:lang w:val="sq-AL"/>
              </w:rPr>
            </w:pPr>
          </w:p>
          <w:p w14:paraId="52A7BA4B" w14:textId="77777777" w:rsidR="00A404E9" w:rsidRPr="0043600A" w:rsidRDefault="00A404E9" w:rsidP="0043600A">
            <w:pPr>
              <w:jc w:val="center"/>
              <w:rPr>
                <w:rFonts w:cs="Segoe UI Semilight"/>
                <w:b/>
                <w:szCs w:val="20"/>
                <w:lang w:val="sq-AL"/>
              </w:rPr>
            </w:pPr>
          </w:p>
          <w:p w14:paraId="07A2B587" w14:textId="77777777" w:rsidR="00A404E9" w:rsidRPr="0043600A" w:rsidRDefault="00A404E9" w:rsidP="0043600A">
            <w:pPr>
              <w:jc w:val="center"/>
              <w:rPr>
                <w:rFonts w:cs="Segoe UI Semilight"/>
                <w:b/>
                <w:szCs w:val="20"/>
                <w:lang w:val="sq-AL"/>
              </w:rPr>
            </w:pPr>
          </w:p>
          <w:p w14:paraId="081AAD33" w14:textId="77777777" w:rsidR="00A404E9" w:rsidRPr="0043600A" w:rsidRDefault="00A404E9" w:rsidP="0043600A">
            <w:pPr>
              <w:jc w:val="center"/>
              <w:rPr>
                <w:rFonts w:cs="Segoe UI Semilight"/>
                <w:b/>
                <w:szCs w:val="20"/>
                <w:lang w:val="sq-AL"/>
              </w:rPr>
            </w:pPr>
          </w:p>
          <w:p w14:paraId="02733700" w14:textId="77777777" w:rsidR="00A404E9" w:rsidRPr="0043600A" w:rsidRDefault="00A404E9" w:rsidP="0043600A">
            <w:pPr>
              <w:jc w:val="center"/>
              <w:rPr>
                <w:rFonts w:cs="Segoe UI Semilight"/>
                <w:b/>
                <w:szCs w:val="20"/>
                <w:lang w:val="sq-AL"/>
              </w:rPr>
            </w:pPr>
          </w:p>
          <w:p w14:paraId="1911BAB1" w14:textId="77777777" w:rsidR="00A404E9" w:rsidRPr="0043600A" w:rsidRDefault="00A404E9" w:rsidP="0043600A">
            <w:pPr>
              <w:jc w:val="center"/>
              <w:rPr>
                <w:rFonts w:cs="Segoe UI Semilight"/>
                <w:b/>
                <w:szCs w:val="20"/>
                <w:lang w:val="sq-AL"/>
              </w:rPr>
            </w:pPr>
          </w:p>
          <w:p w14:paraId="5833DAEA" w14:textId="77777777" w:rsidR="00A404E9" w:rsidRPr="0043600A" w:rsidRDefault="00A404E9" w:rsidP="0043600A">
            <w:pPr>
              <w:jc w:val="center"/>
              <w:rPr>
                <w:rFonts w:cs="Segoe UI Semilight"/>
                <w:b/>
                <w:szCs w:val="20"/>
                <w:lang w:val="sq-AL"/>
              </w:rPr>
            </w:pPr>
          </w:p>
          <w:p w14:paraId="58621FD8" w14:textId="77777777" w:rsidR="00A404E9" w:rsidRPr="0043600A" w:rsidRDefault="00A404E9" w:rsidP="0043600A">
            <w:pPr>
              <w:jc w:val="center"/>
              <w:rPr>
                <w:rFonts w:cs="Segoe UI Semilight"/>
                <w:b/>
                <w:szCs w:val="20"/>
                <w:lang w:val="sq-AL"/>
              </w:rPr>
            </w:pPr>
          </w:p>
          <w:p w14:paraId="476C7D55" w14:textId="77777777" w:rsidR="00A404E9" w:rsidRPr="0043600A" w:rsidRDefault="00A404E9" w:rsidP="0043600A">
            <w:pPr>
              <w:jc w:val="center"/>
              <w:rPr>
                <w:rFonts w:cs="Segoe UI Semilight"/>
                <w:b/>
                <w:szCs w:val="20"/>
                <w:lang w:val="sq-AL"/>
              </w:rPr>
            </w:pPr>
          </w:p>
          <w:p w14:paraId="2810F3E2" w14:textId="77777777" w:rsidR="00A404E9" w:rsidRPr="0043600A" w:rsidRDefault="00A404E9" w:rsidP="0043600A">
            <w:pPr>
              <w:jc w:val="center"/>
              <w:rPr>
                <w:rFonts w:cs="Segoe UI Semilight"/>
                <w:b/>
                <w:szCs w:val="20"/>
                <w:lang w:val="sq-AL"/>
              </w:rPr>
            </w:pPr>
          </w:p>
          <w:p w14:paraId="2D68DBF3" w14:textId="77777777" w:rsidR="00A404E9" w:rsidRPr="0043600A" w:rsidRDefault="00A404E9" w:rsidP="0043600A">
            <w:pPr>
              <w:jc w:val="center"/>
              <w:rPr>
                <w:rFonts w:cs="Segoe UI Semilight"/>
                <w:b/>
                <w:szCs w:val="20"/>
                <w:lang w:val="sq-AL"/>
              </w:rPr>
            </w:pPr>
          </w:p>
          <w:p w14:paraId="2ACAD19F" w14:textId="77777777" w:rsidR="00A404E9" w:rsidRPr="0043600A" w:rsidRDefault="00A404E9" w:rsidP="0043600A">
            <w:pPr>
              <w:jc w:val="center"/>
              <w:rPr>
                <w:rFonts w:cs="Segoe UI Semilight"/>
                <w:b/>
                <w:szCs w:val="20"/>
                <w:lang w:val="sq-AL"/>
              </w:rPr>
            </w:pPr>
          </w:p>
          <w:p w14:paraId="41D87A28" w14:textId="77777777" w:rsidR="00A404E9" w:rsidRPr="0043600A" w:rsidRDefault="00A404E9" w:rsidP="0043600A">
            <w:pPr>
              <w:jc w:val="center"/>
              <w:rPr>
                <w:rFonts w:cs="Segoe UI Semilight"/>
                <w:b/>
                <w:szCs w:val="20"/>
                <w:lang w:val="sq-AL"/>
              </w:rPr>
            </w:pPr>
          </w:p>
          <w:p w14:paraId="59467127" w14:textId="77777777" w:rsidR="00FF37A5" w:rsidRPr="0003605B" w:rsidRDefault="00FF37A5" w:rsidP="0043600A">
            <w:pPr>
              <w:pStyle w:val="HTMLPreformatted"/>
              <w:shd w:val="clear" w:color="auto" w:fill="FFFFFF"/>
              <w:rPr>
                <w:rFonts w:ascii="Segoe UI Semilight" w:eastAsiaTheme="minorHAnsi" w:hAnsi="Segoe UI Semilight" w:cs="Segoe UI Semilight"/>
                <w:b/>
                <w:lang w:val="sq-AL"/>
              </w:rPr>
            </w:pPr>
            <w:r w:rsidRPr="0003605B">
              <w:rPr>
                <w:rFonts w:ascii="Segoe UI Semilight" w:eastAsiaTheme="minorHAnsi" w:hAnsi="Segoe UI Semilight" w:cs="Segoe UI Semilight"/>
                <w:b/>
                <w:lang w:val="sq-AL"/>
              </w:rPr>
              <w:t>Problemi kryesor</w:t>
            </w:r>
          </w:p>
          <w:p w14:paraId="690AE8CF" w14:textId="0D8EAB2A" w:rsidR="00A404E9" w:rsidRPr="0003605B" w:rsidRDefault="002A0DD2" w:rsidP="002A0DD2">
            <w:pPr>
              <w:jc w:val="left"/>
              <w:rPr>
                <w:rFonts w:cs="Segoe UI Semilight"/>
                <w:szCs w:val="20"/>
                <w:lang w:val="sq-AL"/>
              </w:rPr>
            </w:pPr>
            <w:r w:rsidRPr="0003605B">
              <w:rPr>
                <w:rFonts w:eastAsia="Times New Roman" w:cs="Segoe UI Semilight"/>
                <w:color w:val="212121"/>
                <w:szCs w:val="20"/>
                <w:lang w:val="sq-AL"/>
              </w:rPr>
              <w:t xml:space="preserve">Pjesëmarrja e OSHC-ve nuk mjafton në formulimin e </w:t>
            </w:r>
            <w:r w:rsidRPr="0003605B">
              <w:rPr>
                <w:rFonts w:eastAsia="Times New Roman" w:cs="Segoe UI Semilight"/>
                <w:color w:val="212121"/>
                <w:szCs w:val="20"/>
                <w:lang w:val="sq-AL"/>
              </w:rPr>
              <w:lastRenderedPageBreak/>
              <w:t>politikave dhe legjislacionit.</w:t>
            </w:r>
          </w:p>
        </w:tc>
        <w:tc>
          <w:tcPr>
            <w:tcW w:w="2552" w:type="dxa"/>
            <w:vMerge w:val="restart"/>
          </w:tcPr>
          <w:p w14:paraId="629235A6" w14:textId="4F1BD49A" w:rsidR="00A404E9" w:rsidRPr="0003605B" w:rsidRDefault="00A404E9" w:rsidP="0043600A">
            <w:pPr>
              <w:jc w:val="center"/>
              <w:rPr>
                <w:rFonts w:cs="Segoe UI Semilight"/>
                <w:b/>
                <w:szCs w:val="20"/>
                <w:lang w:val="sq-AL"/>
              </w:rPr>
            </w:pPr>
            <w:r w:rsidRPr="0003605B">
              <w:rPr>
                <w:rFonts w:cs="Segoe UI Semilight"/>
                <w:b/>
                <w:szCs w:val="20"/>
                <w:lang w:val="sq-AL"/>
              </w:rPr>
              <w:lastRenderedPageBreak/>
              <w:t xml:space="preserve">1. </w:t>
            </w:r>
            <w:r w:rsidR="00FF37A5" w:rsidRPr="0003605B">
              <w:rPr>
                <w:rFonts w:cs="Segoe UI Semilight"/>
                <w:b/>
                <w:szCs w:val="20"/>
                <w:lang w:val="sq-AL"/>
              </w:rPr>
              <w:t>Shkaku i drejtpërdrejtë</w:t>
            </w:r>
          </w:p>
          <w:p w14:paraId="69B1F10D" w14:textId="77777777" w:rsidR="007F5348" w:rsidRPr="0003605B" w:rsidRDefault="007F5348" w:rsidP="007F5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egoe UI Semilight"/>
                <w:color w:val="212121"/>
                <w:szCs w:val="20"/>
                <w:lang w:val="sq-AL"/>
              </w:rPr>
            </w:pPr>
            <w:r w:rsidRPr="0003605B">
              <w:rPr>
                <w:rFonts w:eastAsia="Times New Roman" w:cs="Segoe UI Semilight"/>
                <w:color w:val="212121"/>
                <w:szCs w:val="20"/>
                <w:lang w:val="sq-AL"/>
              </w:rPr>
              <w:t>Mungesa e resurseve për koordinimin, monitorimin, raportimin dhe mbështetjen për zbatimin e Standardeve Minimale për Rregullimin e Procesit të Konsultimit Publik.</w:t>
            </w:r>
          </w:p>
          <w:p w14:paraId="73803E67" w14:textId="77777777" w:rsidR="00A404E9" w:rsidRPr="0003605B" w:rsidRDefault="00A404E9" w:rsidP="0043600A">
            <w:pPr>
              <w:rPr>
                <w:rFonts w:cs="Segoe UI Semilight"/>
                <w:szCs w:val="20"/>
                <w:lang w:val="sq-AL"/>
              </w:rPr>
            </w:pPr>
          </w:p>
        </w:tc>
        <w:tc>
          <w:tcPr>
            <w:tcW w:w="4927" w:type="dxa"/>
          </w:tcPr>
          <w:p w14:paraId="19E6E656" w14:textId="481A0AF6" w:rsidR="00A404E9" w:rsidRPr="0003605B" w:rsidRDefault="00A404E9" w:rsidP="0043600A">
            <w:pPr>
              <w:jc w:val="center"/>
              <w:rPr>
                <w:rFonts w:cs="Segoe UI Semilight"/>
                <w:b/>
                <w:szCs w:val="20"/>
                <w:lang w:val="sq-AL"/>
              </w:rPr>
            </w:pPr>
            <w:r w:rsidRPr="0003605B">
              <w:rPr>
                <w:rFonts w:cs="Segoe UI Semilight"/>
                <w:b/>
                <w:szCs w:val="20"/>
                <w:lang w:val="sq-AL"/>
              </w:rPr>
              <w:t xml:space="preserve">1.1 </w:t>
            </w:r>
            <w:r w:rsidR="00E644BF" w:rsidRPr="0003605B">
              <w:rPr>
                <w:rFonts w:cs="Segoe UI Semilight"/>
                <w:b/>
                <w:szCs w:val="20"/>
                <w:lang w:val="sq-AL"/>
              </w:rPr>
              <w:t>Rrënja e shkakut</w:t>
            </w:r>
          </w:p>
          <w:p w14:paraId="7B92016D" w14:textId="77777777" w:rsidR="007F5348" w:rsidRPr="0003605B" w:rsidRDefault="007F5348" w:rsidP="0043600A">
            <w:pPr>
              <w:pStyle w:val="HTMLPreformatted"/>
              <w:shd w:val="clear" w:color="auto" w:fill="FFFFFF"/>
              <w:rPr>
                <w:rFonts w:ascii="Segoe UI Semilight" w:hAnsi="Segoe UI Semilight" w:cs="Segoe UI Semilight"/>
                <w:color w:val="212121"/>
                <w:lang w:val="sq-AL"/>
              </w:rPr>
            </w:pPr>
            <w:r w:rsidRPr="0003605B">
              <w:rPr>
                <w:rFonts w:ascii="Segoe UI Semilight" w:hAnsi="Segoe UI Semilight" w:cs="Segoe UI Semilight"/>
                <w:color w:val="212121"/>
                <w:lang w:val="sq-AL"/>
              </w:rPr>
              <w:t>ZQM-ZKM nuk ka burime të mjaftueshme njerëzore dhe financiare për të promovuar zbatimin e Rregullores në praktikë dhe për të siguruar përfshirjen e shoqërisë civile në vendimmarrje.</w:t>
            </w:r>
          </w:p>
          <w:p w14:paraId="1CA08006" w14:textId="77777777" w:rsidR="007F5348" w:rsidRPr="0003605B" w:rsidRDefault="007F5348" w:rsidP="0043600A">
            <w:pPr>
              <w:pStyle w:val="HTMLPreformatted"/>
              <w:shd w:val="clear" w:color="auto" w:fill="FFFFFF"/>
              <w:rPr>
                <w:rFonts w:ascii="Segoe UI Semilight" w:hAnsi="Segoe UI Semilight" w:cs="Segoe UI Semilight"/>
                <w:color w:val="212121"/>
                <w:lang w:val="sq-AL"/>
              </w:rPr>
            </w:pPr>
          </w:p>
          <w:p w14:paraId="2C0947E4" w14:textId="77777777" w:rsidR="00A404E9" w:rsidRPr="0003605B" w:rsidRDefault="00A404E9" w:rsidP="007F5348">
            <w:pPr>
              <w:pStyle w:val="HTMLPreformatted"/>
              <w:shd w:val="clear" w:color="auto" w:fill="FFFFFF"/>
              <w:rPr>
                <w:rFonts w:cs="Segoe UI Semilight"/>
                <w:lang w:val="sq-AL"/>
              </w:rPr>
            </w:pPr>
          </w:p>
        </w:tc>
      </w:tr>
      <w:tr w:rsidR="00A404E9" w:rsidRPr="008362F3" w14:paraId="2705A021" w14:textId="77777777" w:rsidTr="0043600A">
        <w:tc>
          <w:tcPr>
            <w:tcW w:w="1809" w:type="dxa"/>
            <w:vMerge/>
          </w:tcPr>
          <w:p w14:paraId="59367F6F" w14:textId="77777777" w:rsidR="00A404E9" w:rsidRPr="0003605B" w:rsidRDefault="00A404E9" w:rsidP="0043600A">
            <w:pPr>
              <w:rPr>
                <w:rFonts w:cs="Segoe UI Semilight"/>
                <w:szCs w:val="20"/>
                <w:lang w:val="sq-AL"/>
              </w:rPr>
            </w:pPr>
          </w:p>
        </w:tc>
        <w:tc>
          <w:tcPr>
            <w:tcW w:w="2552" w:type="dxa"/>
            <w:vMerge/>
          </w:tcPr>
          <w:p w14:paraId="1AC3A3A9" w14:textId="77777777" w:rsidR="00A404E9" w:rsidRPr="0003605B" w:rsidRDefault="00A404E9" w:rsidP="0043600A">
            <w:pPr>
              <w:rPr>
                <w:rFonts w:cs="Segoe UI Semilight"/>
                <w:szCs w:val="20"/>
                <w:lang w:val="sq-AL"/>
              </w:rPr>
            </w:pPr>
          </w:p>
        </w:tc>
        <w:tc>
          <w:tcPr>
            <w:tcW w:w="4927" w:type="dxa"/>
          </w:tcPr>
          <w:p w14:paraId="5E6A582B" w14:textId="0B79B02A" w:rsidR="00A404E9" w:rsidRPr="0003605B" w:rsidRDefault="00A404E9" w:rsidP="0043600A">
            <w:pPr>
              <w:jc w:val="center"/>
              <w:rPr>
                <w:rFonts w:cs="Segoe UI Semilight"/>
                <w:b/>
                <w:szCs w:val="20"/>
                <w:lang w:val="sq-AL"/>
              </w:rPr>
            </w:pPr>
            <w:r w:rsidRPr="0003605B">
              <w:rPr>
                <w:rFonts w:cs="Segoe UI Semilight"/>
                <w:b/>
                <w:szCs w:val="20"/>
                <w:lang w:val="sq-AL"/>
              </w:rPr>
              <w:t xml:space="preserve">1.2 </w:t>
            </w:r>
            <w:r w:rsidR="00E644BF" w:rsidRPr="0003605B">
              <w:rPr>
                <w:rFonts w:cs="Segoe UI Semilight"/>
                <w:b/>
                <w:szCs w:val="20"/>
                <w:lang w:val="sq-AL"/>
              </w:rPr>
              <w:t>Rrënja e shkakut</w:t>
            </w:r>
          </w:p>
          <w:p w14:paraId="1DD8F397" w14:textId="6E1C6586" w:rsidR="00A404E9" w:rsidRPr="0003605B" w:rsidRDefault="0043600A" w:rsidP="0043600A">
            <w:pPr>
              <w:rPr>
                <w:rFonts w:cs="Segoe UI Semilight"/>
                <w:szCs w:val="20"/>
                <w:lang w:val="sq-AL"/>
              </w:rPr>
            </w:pPr>
            <w:r w:rsidRPr="0003605B">
              <w:rPr>
                <w:rFonts w:eastAsia="Times New Roman" w:cs="Segoe UI Semilight"/>
                <w:color w:val="212121"/>
                <w:szCs w:val="20"/>
                <w:lang w:val="sq-AL"/>
              </w:rPr>
              <w:t>Platforma e Konsultimit Publik Online nuk është gjithmonë funksionale si rezultat i menaxhimit / mirëmbajtjes joefektive.</w:t>
            </w:r>
          </w:p>
        </w:tc>
      </w:tr>
      <w:tr w:rsidR="00A404E9" w:rsidRPr="008362F3" w14:paraId="27086403" w14:textId="77777777" w:rsidTr="0043600A">
        <w:tc>
          <w:tcPr>
            <w:tcW w:w="1809" w:type="dxa"/>
            <w:vMerge/>
          </w:tcPr>
          <w:p w14:paraId="1DDCD547" w14:textId="77777777" w:rsidR="00A404E9" w:rsidRPr="0003605B" w:rsidRDefault="00A404E9" w:rsidP="0043600A">
            <w:pPr>
              <w:rPr>
                <w:rFonts w:cs="Segoe UI Semilight"/>
                <w:szCs w:val="20"/>
                <w:lang w:val="sq-AL"/>
              </w:rPr>
            </w:pPr>
          </w:p>
        </w:tc>
        <w:tc>
          <w:tcPr>
            <w:tcW w:w="2552" w:type="dxa"/>
            <w:vMerge w:val="restart"/>
          </w:tcPr>
          <w:p w14:paraId="3BEEBC9D" w14:textId="77777777" w:rsidR="00A404E9" w:rsidRPr="0003605B" w:rsidRDefault="00A404E9" w:rsidP="0043600A">
            <w:pPr>
              <w:tabs>
                <w:tab w:val="left" w:pos="892"/>
              </w:tabs>
              <w:jc w:val="center"/>
              <w:rPr>
                <w:rFonts w:cs="Segoe UI Semilight"/>
                <w:b/>
                <w:szCs w:val="20"/>
                <w:lang w:val="sq-AL"/>
              </w:rPr>
            </w:pPr>
          </w:p>
          <w:p w14:paraId="50C6B93D" w14:textId="0CA81357" w:rsidR="00A404E9" w:rsidRPr="0003605B" w:rsidRDefault="00A404E9" w:rsidP="0043600A">
            <w:pPr>
              <w:tabs>
                <w:tab w:val="left" w:pos="892"/>
              </w:tabs>
              <w:jc w:val="center"/>
              <w:rPr>
                <w:rFonts w:cs="Segoe UI Semilight"/>
                <w:b/>
                <w:szCs w:val="20"/>
                <w:lang w:val="sq-AL"/>
              </w:rPr>
            </w:pPr>
            <w:r w:rsidRPr="0003605B">
              <w:rPr>
                <w:rFonts w:cs="Segoe UI Semilight"/>
                <w:b/>
                <w:szCs w:val="20"/>
                <w:lang w:val="sq-AL"/>
              </w:rPr>
              <w:t xml:space="preserve">2. </w:t>
            </w:r>
            <w:r w:rsidR="00FF37A5" w:rsidRPr="0003605B">
              <w:rPr>
                <w:rFonts w:cs="Segoe UI Semilight"/>
                <w:b/>
                <w:szCs w:val="20"/>
                <w:lang w:val="sq-AL"/>
              </w:rPr>
              <w:t>Shkaku i drejtpërdrejtë</w:t>
            </w:r>
          </w:p>
          <w:p w14:paraId="5DF5E8B5" w14:textId="05215352" w:rsidR="00A404E9" w:rsidRPr="0003605B" w:rsidRDefault="002A0DD2" w:rsidP="002A0DD2">
            <w:pPr>
              <w:pStyle w:val="HTMLPreformatted"/>
              <w:shd w:val="clear" w:color="auto" w:fill="FFFFFF"/>
              <w:rPr>
                <w:rFonts w:ascii="Segoe UI Semilight" w:hAnsi="Segoe UI Semilight" w:cs="Segoe UI Semilight"/>
                <w:color w:val="212121"/>
                <w:lang w:val="sq-AL"/>
              </w:rPr>
            </w:pPr>
            <w:r w:rsidRPr="0003605B">
              <w:rPr>
                <w:rFonts w:ascii="Segoe UI Semilight" w:hAnsi="Segoe UI Semilight" w:cs="Segoe UI Semilight"/>
                <w:color w:val="212121"/>
                <w:lang w:val="sq-AL"/>
              </w:rPr>
              <w:t>Mungesa e komunikimit proaktiv në ministritë e linjës dhe kapaciteti i zyrtarëve për të planifikuar, zbatuar dhe raportuar mbi standardet minimale për konsultime publike.</w:t>
            </w:r>
          </w:p>
        </w:tc>
        <w:tc>
          <w:tcPr>
            <w:tcW w:w="4927" w:type="dxa"/>
          </w:tcPr>
          <w:p w14:paraId="7FE529BE" w14:textId="0D2976E1" w:rsidR="00FF37A5" w:rsidRPr="0003605B" w:rsidRDefault="00A404E9" w:rsidP="002A0DD2">
            <w:pPr>
              <w:jc w:val="center"/>
              <w:rPr>
                <w:rFonts w:cs="Segoe UI Semilight"/>
                <w:b/>
                <w:szCs w:val="20"/>
                <w:lang w:val="sq-AL"/>
              </w:rPr>
            </w:pPr>
            <w:r w:rsidRPr="0003605B">
              <w:rPr>
                <w:rFonts w:cs="Segoe UI Semilight"/>
                <w:b/>
                <w:szCs w:val="20"/>
                <w:lang w:val="sq-AL"/>
              </w:rPr>
              <w:t>2</w:t>
            </w:r>
            <w:r w:rsidR="00FF37A5" w:rsidRPr="0003605B">
              <w:rPr>
                <w:rFonts w:cs="Segoe UI Semilight"/>
                <w:b/>
                <w:szCs w:val="20"/>
                <w:lang w:val="sq-AL"/>
              </w:rPr>
              <w:t>.</w:t>
            </w:r>
            <w:r w:rsidRPr="0003605B">
              <w:rPr>
                <w:rFonts w:cs="Segoe UI Semilight"/>
                <w:b/>
                <w:szCs w:val="20"/>
                <w:lang w:val="sq-AL"/>
              </w:rPr>
              <w:t xml:space="preserve">1 </w:t>
            </w:r>
            <w:r w:rsidR="00E644BF" w:rsidRPr="0003605B">
              <w:rPr>
                <w:rFonts w:cs="Segoe UI Semilight"/>
                <w:b/>
                <w:szCs w:val="20"/>
                <w:lang w:val="sq-AL"/>
              </w:rPr>
              <w:t>Rrënja e shkakut</w:t>
            </w:r>
          </w:p>
          <w:p w14:paraId="468E063C" w14:textId="77777777" w:rsidR="0043600A" w:rsidRPr="0003605B" w:rsidRDefault="0043600A" w:rsidP="0043600A">
            <w:pPr>
              <w:pStyle w:val="HTMLPreformatted"/>
              <w:shd w:val="clear" w:color="auto" w:fill="FFFFFF"/>
              <w:rPr>
                <w:rFonts w:ascii="Segoe UI Semilight" w:hAnsi="Segoe UI Semilight" w:cs="Segoe UI Semilight"/>
                <w:color w:val="212121"/>
                <w:lang w:val="sq-AL"/>
              </w:rPr>
            </w:pPr>
            <w:r w:rsidRPr="0003605B">
              <w:rPr>
                <w:rFonts w:ascii="Segoe UI Semilight" w:hAnsi="Segoe UI Semilight" w:cs="Segoe UI Semilight"/>
                <w:color w:val="212121"/>
                <w:lang w:val="sq-AL"/>
              </w:rPr>
              <w:t>Nëpunësit civilë kanë njohuri të pamjaftueshme për zbatimin e Rregullores së Standardeve Minimale.</w:t>
            </w:r>
          </w:p>
          <w:p w14:paraId="72F473B9" w14:textId="77777777" w:rsidR="00A404E9" w:rsidRPr="0003605B" w:rsidRDefault="00A404E9" w:rsidP="00B95B59">
            <w:pPr>
              <w:pStyle w:val="HTMLPreformatted"/>
              <w:shd w:val="clear" w:color="auto" w:fill="FFFFFF"/>
              <w:rPr>
                <w:rFonts w:cs="Segoe UI Semilight"/>
                <w:lang w:val="sq-AL"/>
              </w:rPr>
            </w:pPr>
          </w:p>
        </w:tc>
      </w:tr>
      <w:tr w:rsidR="00A404E9" w:rsidRPr="008362F3" w14:paraId="33708A92" w14:textId="77777777" w:rsidTr="0043600A">
        <w:tc>
          <w:tcPr>
            <w:tcW w:w="1809" w:type="dxa"/>
            <w:vMerge/>
          </w:tcPr>
          <w:p w14:paraId="07F19ED6" w14:textId="77777777" w:rsidR="00A404E9" w:rsidRPr="0003605B" w:rsidRDefault="00A404E9" w:rsidP="0043600A">
            <w:pPr>
              <w:rPr>
                <w:rFonts w:cs="Segoe UI Semilight"/>
                <w:szCs w:val="20"/>
                <w:lang w:val="sq-AL"/>
              </w:rPr>
            </w:pPr>
          </w:p>
        </w:tc>
        <w:tc>
          <w:tcPr>
            <w:tcW w:w="2552" w:type="dxa"/>
            <w:vMerge/>
          </w:tcPr>
          <w:p w14:paraId="5B671FC1" w14:textId="77777777" w:rsidR="00A404E9" w:rsidRPr="0003605B" w:rsidRDefault="00A404E9" w:rsidP="0043600A">
            <w:pPr>
              <w:rPr>
                <w:rFonts w:cs="Segoe UI Semilight"/>
                <w:szCs w:val="20"/>
                <w:lang w:val="sq-AL"/>
              </w:rPr>
            </w:pPr>
          </w:p>
        </w:tc>
        <w:tc>
          <w:tcPr>
            <w:tcW w:w="4927" w:type="dxa"/>
          </w:tcPr>
          <w:p w14:paraId="1E3A08CE" w14:textId="2BB2BB32" w:rsidR="00A404E9" w:rsidRPr="0003605B" w:rsidRDefault="00A404E9" w:rsidP="0043600A">
            <w:pPr>
              <w:jc w:val="center"/>
              <w:rPr>
                <w:rFonts w:cs="Segoe UI Semilight"/>
                <w:b/>
                <w:szCs w:val="20"/>
                <w:lang w:val="sq-AL"/>
              </w:rPr>
            </w:pPr>
            <w:r w:rsidRPr="0003605B">
              <w:rPr>
                <w:rFonts w:cs="Segoe UI Semilight"/>
                <w:b/>
                <w:szCs w:val="20"/>
                <w:lang w:val="sq-AL"/>
              </w:rPr>
              <w:t xml:space="preserve">2.2 </w:t>
            </w:r>
            <w:r w:rsidR="00E644BF" w:rsidRPr="0003605B">
              <w:rPr>
                <w:rFonts w:cs="Segoe UI Semilight"/>
                <w:b/>
                <w:szCs w:val="20"/>
                <w:lang w:val="sq-AL"/>
              </w:rPr>
              <w:t>Rrënja e shkakut</w:t>
            </w:r>
            <w:r w:rsidRPr="0003605B">
              <w:rPr>
                <w:rFonts w:cs="Segoe UI Semilight"/>
                <w:szCs w:val="20"/>
                <w:lang w:val="sq-AL"/>
              </w:rPr>
              <w:br/>
            </w:r>
            <w:r w:rsidR="00C42598" w:rsidRPr="0003605B">
              <w:rPr>
                <w:rFonts w:cs="Segoe UI Semilight"/>
                <w:color w:val="212121"/>
                <w:szCs w:val="20"/>
                <w:shd w:val="clear" w:color="auto" w:fill="FFFFFF"/>
                <w:lang w:val="sq-AL"/>
              </w:rPr>
              <w:t xml:space="preserve">Ministritë nuk organizojnë aktivitete </w:t>
            </w:r>
            <w:r w:rsidR="002A0DD2" w:rsidRPr="0003605B">
              <w:rPr>
                <w:rFonts w:cs="Segoe UI Semilight"/>
                <w:color w:val="212121"/>
                <w:szCs w:val="20"/>
                <w:shd w:val="clear" w:color="auto" w:fill="FFFFFF"/>
                <w:lang w:val="sq-AL"/>
              </w:rPr>
              <w:t>koordinuese</w:t>
            </w:r>
            <w:r w:rsidR="00C42598" w:rsidRPr="0003605B">
              <w:rPr>
                <w:rFonts w:cs="Segoe UI Semilight"/>
                <w:color w:val="212121"/>
                <w:szCs w:val="20"/>
                <w:shd w:val="clear" w:color="auto" w:fill="FFFFFF"/>
                <w:lang w:val="sq-AL"/>
              </w:rPr>
              <w:t xml:space="preserve"> për zbatimin e Rregullores së Standardeve Minimale dhe menaxherët nuk janë të informuar sa duhet</w:t>
            </w:r>
          </w:p>
        </w:tc>
      </w:tr>
      <w:tr w:rsidR="00A404E9" w:rsidRPr="008362F3" w14:paraId="3BEF7C0E" w14:textId="77777777" w:rsidTr="0043600A">
        <w:tc>
          <w:tcPr>
            <w:tcW w:w="1809" w:type="dxa"/>
            <w:vMerge/>
          </w:tcPr>
          <w:p w14:paraId="7F80E4AB" w14:textId="77777777" w:rsidR="00A404E9" w:rsidRPr="0003605B" w:rsidRDefault="00A404E9" w:rsidP="0043600A">
            <w:pPr>
              <w:rPr>
                <w:rFonts w:cs="Segoe UI Semilight"/>
                <w:szCs w:val="20"/>
                <w:lang w:val="sq-AL"/>
              </w:rPr>
            </w:pPr>
          </w:p>
        </w:tc>
        <w:tc>
          <w:tcPr>
            <w:tcW w:w="2552" w:type="dxa"/>
            <w:vMerge/>
          </w:tcPr>
          <w:p w14:paraId="0ED167F7" w14:textId="77777777" w:rsidR="00A404E9" w:rsidRPr="0003605B" w:rsidRDefault="00A404E9" w:rsidP="0043600A">
            <w:pPr>
              <w:rPr>
                <w:rFonts w:cs="Segoe UI Semilight"/>
                <w:szCs w:val="20"/>
                <w:lang w:val="sq-AL"/>
              </w:rPr>
            </w:pPr>
          </w:p>
        </w:tc>
        <w:tc>
          <w:tcPr>
            <w:tcW w:w="4927" w:type="dxa"/>
          </w:tcPr>
          <w:p w14:paraId="128E1B51" w14:textId="321184C6" w:rsidR="00A404E9" w:rsidRPr="0003605B" w:rsidRDefault="00A404E9" w:rsidP="0043600A">
            <w:pPr>
              <w:jc w:val="center"/>
              <w:rPr>
                <w:rFonts w:cs="Segoe UI Semilight"/>
                <w:b/>
                <w:szCs w:val="20"/>
                <w:lang w:val="sq-AL"/>
              </w:rPr>
            </w:pPr>
            <w:r w:rsidRPr="0003605B">
              <w:rPr>
                <w:rFonts w:cs="Segoe UI Semilight"/>
                <w:b/>
                <w:szCs w:val="20"/>
                <w:lang w:val="sq-AL"/>
              </w:rPr>
              <w:t xml:space="preserve">2.3 </w:t>
            </w:r>
            <w:r w:rsidR="00E644BF" w:rsidRPr="0003605B">
              <w:rPr>
                <w:rFonts w:cs="Segoe UI Semilight"/>
                <w:b/>
                <w:szCs w:val="20"/>
                <w:lang w:val="sq-AL"/>
              </w:rPr>
              <w:t>Rrënja e shkakut</w:t>
            </w:r>
          </w:p>
          <w:p w14:paraId="43EB7B8C" w14:textId="0D28ACEB" w:rsidR="00A404E9" w:rsidRPr="0003605B" w:rsidRDefault="002A0DD2" w:rsidP="0043600A">
            <w:pPr>
              <w:rPr>
                <w:rFonts w:cs="Segoe UI Semilight"/>
                <w:szCs w:val="20"/>
                <w:lang w:val="sq-AL"/>
              </w:rPr>
            </w:pPr>
            <w:r w:rsidRPr="0003605B">
              <w:rPr>
                <w:rFonts w:eastAsia="Times New Roman" w:cs="Segoe UI Semilight"/>
                <w:color w:val="212121"/>
                <w:szCs w:val="20"/>
                <w:lang w:val="sq-AL"/>
              </w:rPr>
              <w:t>Shteti nuk ka një sistem të qëndrueshëm për ngritjen e kapaciteteve të nëpunësve civilë për konsultime publike.</w:t>
            </w:r>
          </w:p>
        </w:tc>
      </w:tr>
      <w:tr w:rsidR="00A404E9" w:rsidRPr="008362F3" w14:paraId="2A3F152D" w14:textId="77777777" w:rsidTr="0043600A">
        <w:tc>
          <w:tcPr>
            <w:tcW w:w="1809" w:type="dxa"/>
            <w:vMerge/>
          </w:tcPr>
          <w:p w14:paraId="6D7708E3" w14:textId="77777777" w:rsidR="00A404E9" w:rsidRPr="0003605B" w:rsidRDefault="00A404E9" w:rsidP="0043600A">
            <w:pPr>
              <w:rPr>
                <w:rFonts w:cs="Segoe UI Semilight"/>
                <w:szCs w:val="20"/>
                <w:lang w:val="sq-AL"/>
              </w:rPr>
            </w:pPr>
          </w:p>
        </w:tc>
        <w:tc>
          <w:tcPr>
            <w:tcW w:w="2552" w:type="dxa"/>
            <w:vMerge/>
          </w:tcPr>
          <w:p w14:paraId="0A9CEA93" w14:textId="77777777" w:rsidR="00A404E9" w:rsidRPr="0003605B" w:rsidRDefault="00A404E9" w:rsidP="0043600A">
            <w:pPr>
              <w:rPr>
                <w:rFonts w:cs="Segoe UI Semilight"/>
                <w:szCs w:val="20"/>
                <w:lang w:val="sq-AL"/>
              </w:rPr>
            </w:pPr>
          </w:p>
        </w:tc>
        <w:tc>
          <w:tcPr>
            <w:tcW w:w="4927" w:type="dxa"/>
          </w:tcPr>
          <w:p w14:paraId="40DFB17D" w14:textId="22139164" w:rsidR="00A404E9" w:rsidRPr="0003605B" w:rsidRDefault="00A404E9" w:rsidP="0043600A">
            <w:pPr>
              <w:jc w:val="center"/>
              <w:rPr>
                <w:rFonts w:cs="Segoe UI Semilight"/>
                <w:b/>
                <w:szCs w:val="20"/>
                <w:lang w:val="sq-AL"/>
              </w:rPr>
            </w:pPr>
            <w:r w:rsidRPr="0003605B">
              <w:rPr>
                <w:rFonts w:cs="Segoe UI Semilight"/>
                <w:b/>
                <w:szCs w:val="20"/>
                <w:lang w:val="sq-AL"/>
              </w:rPr>
              <w:t xml:space="preserve">2.4 </w:t>
            </w:r>
            <w:r w:rsidR="00E644BF" w:rsidRPr="0003605B">
              <w:rPr>
                <w:rFonts w:cs="Segoe UI Semilight"/>
                <w:b/>
                <w:szCs w:val="20"/>
                <w:lang w:val="sq-AL"/>
              </w:rPr>
              <w:t>Rrënja e shkakut</w:t>
            </w:r>
          </w:p>
          <w:p w14:paraId="4B021727" w14:textId="63C9B40F" w:rsidR="00A404E9" w:rsidRPr="0003605B" w:rsidRDefault="002A0DD2" w:rsidP="0043600A">
            <w:pPr>
              <w:rPr>
                <w:rFonts w:cs="Segoe UI Semilight"/>
                <w:szCs w:val="20"/>
                <w:lang w:val="sq-AL"/>
              </w:rPr>
            </w:pPr>
            <w:r w:rsidRPr="0003605B">
              <w:rPr>
                <w:rFonts w:eastAsia="Times New Roman" w:cs="Segoe UI Semilight"/>
                <w:color w:val="212121"/>
                <w:szCs w:val="20"/>
                <w:lang w:val="sq-AL"/>
              </w:rPr>
              <w:lastRenderedPageBreak/>
              <w:t>Shteti nuk i jep mirënjohje OSHC-ve që ofrojnë një kontribut cilësor në hartimin e politikave publike.</w:t>
            </w:r>
          </w:p>
        </w:tc>
      </w:tr>
      <w:tr w:rsidR="00A404E9" w:rsidRPr="008362F3" w14:paraId="55F13A63" w14:textId="77777777" w:rsidTr="0043600A">
        <w:tc>
          <w:tcPr>
            <w:tcW w:w="1809" w:type="dxa"/>
            <w:vMerge/>
          </w:tcPr>
          <w:p w14:paraId="511C294D" w14:textId="77777777" w:rsidR="00A404E9" w:rsidRPr="0003605B" w:rsidRDefault="00A404E9" w:rsidP="0043600A">
            <w:pPr>
              <w:rPr>
                <w:rFonts w:cs="Segoe UI Semilight"/>
                <w:szCs w:val="20"/>
                <w:lang w:val="sq-AL"/>
              </w:rPr>
            </w:pPr>
          </w:p>
        </w:tc>
        <w:tc>
          <w:tcPr>
            <w:tcW w:w="2552" w:type="dxa"/>
          </w:tcPr>
          <w:p w14:paraId="40695387" w14:textId="3854F510" w:rsidR="00A404E9" w:rsidRPr="0003605B" w:rsidRDefault="00A404E9" w:rsidP="0043600A">
            <w:pPr>
              <w:jc w:val="center"/>
              <w:rPr>
                <w:rFonts w:cs="Segoe UI Semilight"/>
                <w:b/>
                <w:szCs w:val="20"/>
                <w:lang w:val="sq-AL"/>
              </w:rPr>
            </w:pPr>
            <w:r w:rsidRPr="0003605B">
              <w:rPr>
                <w:rFonts w:cs="Segoe UI Semilight"/>
                <w:b/>
                <w:szCs w:val="20"/>
                <w:lang w:val="sq-AL"/>
              </w:rPr>
              <w:t xml:space="preserve">3. </w:t>
            </w:r>
            <w:r w:rsidR="00FF37A5" w:rsidRPr="0003605B">
              <w:rPr>
                <w:rFonts w:cs="Segoe UI Semilight"/>
                <w:b/>
                <w:szCs w:val="20"/>
                <w:lang w:val="sq-AL"/>
              </w:rPr>
              <w:t>Shkaku i drejtpërdrejtë</w:t>
            </w:r>
          </w:p>
          <w:p w14:paraId="1FC56E8E" w14:textId="29DF8170" w:rsidR="00A404E9" w:rsidRPr="0003605B" w:rsidRDefault="002A0DD2" w:rsidP="002A0DD2">
            <w:pPr>
              <w:jc w:val="left"/>
              <w:rPr>
                <w:rFonts w:cs="Segoe UI Semilight"/>
                <w:szCs w:val="20"/>
                <w:lang w:val="sq-AL"/>
              </w:rPr>
            </w:pPr>
            <w:r w:rsidRPr="0003605B">
              <w:rPr>
                <w:rFonts w:eastAsia="Times New Roman" w:cs="Segoe UI Semilight"/>
                <w:color w:val="212121"/>
                <w:szCs w:val="20"/>
                <w:lang w:val="sq-AL"/>
              </w:rPr>
              <w:t>Mungesa e ndërgjegjësimit të OSHC-ve për pjesëmarrje në konsultime publike.</w:t>
            </w:r>
          </w:p>
        </w:tc>
        <w:tc>
          <w:tcPr>
            <w:tcW w:w="4927" w:type="dxa"/>
          </w:tcPr>
          <w:p w14:paraId="742EF4A8" w14:textId="033EBCE6" w:rsidR="00A404E9" w:rsidRPr="0003605B" w:rsidRDefault="00A404E9" w:rsidP="0043600A">
            <w:pPr>
              <w:jc w:val="center"/>
              <w:rPr>
                <w:rFonts w:cs="Segoe UI Semilight"/>
                <w:b/>
                <w:szCs w:val="20"/>
                <w:lang w:val="sq-AL"/>
              </w:rPr>
            </w:pPr>
            <w:r w:rsidRPr="0003605B">
              <w:rPr>
                <w:rFonts w:cs="Segoe UI Semilight"/>
                <w:b/>
                <w:szCs w:val="20"/>
                <w:lang w:val="sq-AL"/>
              </w:rPr>
              <w:t xml:space="preserve">3.1 </w:t>
            </w:r>
            <w:r w:rsidR="00E644BF" w:rsidRPr="0003605B">
              <w:rPr>
                <w:rFonts w:cs="Segoe UI Semilight"/>
                <w:b/>
                <w:szCs w:val="20"/>
                <w:lang w:val="sq-AL"/>
              </w:rPr>
              <w:t>Rrënja e shkakut</w:t>
            </w:r>
          </w:p>
          <w:p w14:paraId="0ECC7D57" w14:textId="209863FF" w:rsidR="00A404E9" w:rsidRPr="0003605B" w:rsidRDefault="002A0DD2" w:rsidP="0043600A">
            <w:pPr>
              <w:rPr>
                <w:rFonts w:cs="Segoe UI Semilight"/>
                <w:szCs w:val="20"/>
                <w:lang w:val="sq-AL"/>
              </w:rPr>
            </w:pPr>
            <w:r w:rsidRPr="0003605B">
              <w:rPr>
                <w:rFonts w:eastAsia="Times New Roman" w:cs="Segoe UI Semilight"/>
                <w:color w:val="212121"/>
                <w:szCs w:val="20"/>
                <w:lang w:val="sq-AL"/>
              </w:rPr>
              <w:t>ZKM-ZQM nuk ka organizuar fushata të mjaftueshme për të rritur ndërgjegjësimin p</w:t>
            </w:r>
            <w:r>
              <w:rPr>
                <w:rFonts w:eastAsia="Times New Roman" w:cs="Segoe UI Semilight"/>
                <w:color w:val="212121"/>
                <w:szCs w:val="20"/>
                <w:lang w:val="sq-AL"/>
              </w:rPr>
              <w:t>ër</w:t>
            </w:r>
            <w:r w:rsidRPr="0003605B">
              <w:rPr>
                <w:rFonts w:eastAsia="Times New Roman" w:cs="Segoe UI Semilight"/>
                <w:color w:val="212121"/>
                <w:szCs w:val="20"/>
                <w:lang w:val="sq-AL"/>
              </w:rPr>
              <w:t xml:space="preserve"> standardet, metodat dhe përfitimet nga procesi i konsultimit publik.</w:t>
            </w:r>
          </w:p>
        </w:tc>
      </w:tr>
      <w:tr w:rsidR="00A404E9" w:rsidRPr="008362F3" w14:paraId="1408F222" w14:textId="77777777" w:rsidTr="0043600A">
        <w:tc>
          <w:tcPr>
            <w:tcW w:w="1809" w:type="dxa"/>
            <w:vMerge/>
          </w:tcPr>
          <w:p w14:paraId="2259C241" w14:textId="77777777" w:rsidR="00A404E9" w:rsidRPr="0003605B" w:rsidRDefault="00A404E9" w:rsidP="0043600A">
            <w:pPr>
              <w:rPr>
                <w:rFonts w:cs="Segoe UI Semilight"/>
                <w:szCs w:val="20"/>
                <w:lang w:val="sq-AL"/>
              </w:rPr>
            </w:pPr>
          </w:p>
        </w:tc>
        <w:tc>
          <w:tcPr>
            <w:tcW w:w="2552" w:type="dxa"/>
            <w:vMerge w:val="restart"/>
          </w:tcPr>
          <w:p w14:paraId="687E0CBB" w14:textId="77777777" w:rsidR="00A404E9" w:rsidRPr="0003605B" w:rsidRDefault="00A404E9" w:rsidP="0043600A">
            <w:pPr>
              <w:jc w:val="center"/>
              <w:rPr>
                <w:rFonts w:cs="Segoe UI Semilight"/>
                <w:b/>
                <w:szCs w:val="20"/>
                <w:lang w:val="sq-AL"/>
              </w:rPr>
            </w:pPr>
          </w:p>
          <w:p w14:paraId="46BB48F6" w14:textId="77777777" w:rsidR="00A404E9" w:rsidRPr="0003605B" w:rsidRDefault="00A404E9" w:rsidP="0043600A">
            <w:pPr>
              <w:jc w:val="center"/>
              <w:rPr>
                <w:rFonts w:cs="Segoe UI Semilight"/>
                <w:b/>
                <w:szCs w:val="20"/>
                <w:lang w:val="sq-AL"/>
              </w:rPr>
            </w:pPr>
          </w:p>
          <w:p w14:paraId="19EAD5D8" w14:textId="77777777" w:rsidR="00A404E9" w:rsidRPr="0003605B" w:rsidRDefault="00A404E9" w:rsidP="0043600A">
            <w:pPr>
              <w:jc w:val="center"/>
              <w:rPr>
                <w:rFonts w:cs="Segoe UI Semilight"/>
                <w:b/>
                <w:szCs w:val="20"/>
                <w:lang w:val="sq-AL"/>
              </w:rPr>
            </w:pPr>
          </w:p>
          <w:p w14:paraId="611A7617" w14:textId="77777777" w:rsidR="00A404E9" w:rsidRPr="0003605B" w:rsidRDefault="00A404E9" w:rsidP="0043600A">
            <w:pPr>
              <w:jc w:val="center"/>
              <w:rPr>
                <w:rFonts w:cs="Segoe UI Semilight"/>
                <w:b/>
                <w:szCs w:val="20"/>
                <w:lang w:val="sq-AL"/>
              </w:rPr>
            </w:pPr>
          </w:p>
          <w:p w14:paraId="4F313A27" w14:textId="77777777" w:rsidR="00A404E9" w:rsidRPr="0003605B" w:rsidRDefault="00A404E9" w:rsidP="0043600A">
            <w:pPr>
              <w:jc w:val="center"/>
              <w:rPr>
                <w:rFonts w:cs="Segoe UI Semilight"/>
                <w:b/>
                <w:szCs w:val="20"/>
                <w:lang w:val="sq-AL"/>
              </w:rPr>
            </w:pPr>
          </w:p>
          <w:p w14:paraId="2E90D64A" w14:textId="77777777" w:rsidR="00A404E9" w:rsidRPr="0003605B" w:rsidRDefault="00A404E9" w:rsidP="0043600A">
            <w:pPr>
              <w:jc w:val="center"/>
              <w:rPr>
                <w:rFonts w:cs="Segoe UI Semilight"/>
                <w:b/>
                <w:szCs w:val="20"/>
                <w:lang w:val="sq-AL"/>
              </w:rPr>
            </w:pPr>
          </w:p>
          <w:p w14:paraId="0579B2D9" w14:textId="77777777" w:rsidR="00A404E9" w:rsidRPr="0003605B" w:rsidRDefault="00A404E9" w:rsidP="0043600A">
            <w:pPr>
              <w:jc w:val="center"/>
              <w:rPr>
                <w:rFonts w:cs="Segoe UI Semilight"/>
                <w:b/>
                <w:szCs w:val="20"/>
                <w:lang w:val="sq-AL"/>
              </w:rPr>
            </w:pPr>
          </w:p>
          <w:p w14:paraId="28CED9C5" w14:textId="7D602771" w:rsidR="00A404E9" w:rsidRPr="0003605B" w:rsidRDefault="00A404E9" w:rsidP="0043600A">
            <w:pPr>
              <w:jc w:val="center"/>
              <w:rPr>
                <w:rFonts w:cs="Segoe UI Semilight"/>
                <w:b/>
                <w:szCs w:val="20"/>
                <w:lang w:val="sq-AL"/>
              </w:rPr>
            </w:pPr>
            <w:r w:rsidRPr="0003605B">
              <w:rPr>
                <w:rFonts w:cs="Segoe UI Semilight"/>
                <w:b/>
                <w:szCs w:val="20"/>
                <w:lang w:val="sq-AL"/>
              </w:rPr>
              <w:t xml:space="preserve">4. </w:t>
            </w:r>
            <w:r w:rsidR="00E644BF" w:rsidRPr="0003605B">
              <w:rPr>
                <w:rFonts w:cs="Segoe UI Semilight"/>
                <w:b/>
                <w:szCs w:val="20"/>
                <w:lang w:val="sq-AL"/>
              </w:rPr>
              <w:t>Shkaku i drejtpërdrejtë</w:t>
            </w:r>
          </w:p>
          <w:p w14:paraId="65EE685D" w14:textId="233A025C" w:rsidR="00A404E9" w:rsidRPr="0003605B" w:rsidRDefault="002A0DD2" w:rsidP="0043600A">
            <w:pPr>
              <w:rPr>
                <w:rFonts w:cs="Segoe UI Semilight"/>
                <w:szCs w:val="20"/>
                <w:lang w:val="sq-AL"/>
              </w:rPr>
            </w:pPr>
            <w:r w:rsidRPr="0003605B">
              <w:rPr>
                <w:rFonts w:eastAsia="Times New Roman" w:cs="Segoe UI Semilight"/>
                <w:color w:val="212121"/>
                <w:szCs w:val="20"/>
                <w:lang w:val="sq-AL"/>
              </w:rPr>
              <w:t>Mungesa e kapaciteteve të OSHC-ve për të kontribuar në procesin e konsultimit publik.</w:t>
            </w:r>
          </w:p>
        </w:tc>
        <w:tc>
          <w:tcPr>
            <w:tcW w:w="4927" w:type="dxa"/>
          </w:tcPr>
          <w:p w14:paraId="0626A808" w14:textId="49AB60BA" w:rsidR="00A404E9" w:rsidRPr="0003605B" w:rsidRDefault="00A404E9" w:rsidP="0043600A">
            <w:pPr>
              <w:jc w:val="center"/>
              <w:rPr>
                <w:rFonts w:cs="Segoe UI Semilight"/>
                <w:b/>
                <w:szCs w:val="20"/>
                <w:lang w:val="sq-AL"/>
              </w:rPr>
            </w:pPr>
            <w:r w:rsidRPr="0003605B">
              <w:rPr>
                <w:rFonts w:cs="Segoe UI Semilight"/>
                <w:b/>
                <w:szCs w:val="20"/>
                <w:lang w:val="sq-AL"/>
              </w:rPr>
              <w:t xml:space="preserve">4.1 </w:t>
            </w:r>
            <w:r w:rsidR="00E644BF" w:rsidRPr="0003605B">
              <w:rPr>
                <w:rFonts w:cs="Segoe UI Semilight"/>
                <w:b/>
                <w:szCs w:val="20"/>
                <w:lang w:val="sq-AL"/>
              </w:rPr>
              <w:t>Rrënja e shkakut</w:t>
            </w:r>
            <w:r w:rsidRPr="0003605B">
              <w:rPr>
                <w:rFonts w:cs="Segoe UI Semilight"/>
                <w:szCs w:val="20"/>
                <w:lang w:val="sq-AL"/>
              </w:rPr>
              <w:br/>
            </w:r>
            <w:r w:rsidR="002A0DD2" w:rsidRPr="0003605B">
              <w:rPr>
                <w:rFonts w:cs="Segoe UI Semilight"/>
                <w:color w:val="212121"/>
                <w:szCs w:val="20"/>
                <w:shd w:val="clear" w:color="auto" w:fill="FFFFFF"/>
                <w:lang w:val="sq-AL"/>
              </w:rPr>
              <w:t>OSHC-të nuk kuptojnë sa duhet ciklin e bërjes së politikave dhe si rezultat ato nuk janë të gatshme të japin kontribut në procesin e bërjes së politikave.</w:t>
            </w:r>
          </w:p>
        </w:tc>
      </w:tr>
      <w:tr w:rsidR="00A404E9" w:rsidRPr="008362F3" w14:paraId="0C326B4F" w14:textId="77777777" w:rsidTr="0043600A">
        <w:tc>
          <w:tcPr>
            <w:tcW w:w="1809" w:type="dxa"/>
            <w:vMerge/>
          </w:tcPr>
          <w:p w14:paraId="363DB0CF" w14:textId="77777777" w:rsidR="00A404E9" w:rsidRPr="0003605B" w:rsidRDefault="00A404E9" w:rsidP="0043600A">
            <w:pPr>
              <w:rPr>
                <w:rFonts w:cs="Segoe UI Semilight"/>
                <w:szCs w:val="20"/>
                <w:lang w:val="sq-AL"/>
              </w:rPr>
            </w:pPr>
          </w:p>
        </w:tc>
        <w:tc>
          <w:tcPr>
            <w:tcW w:w="2552" w:type="dxa"/>
            <w:vMerge/>
          </w:tcPr>
          <w:p w14:paraId="77B4C059" w14:textId="77777777" w:rsidR="00A404E9" w:rsidRPr="0003605B" w:rsidRDefault="00A404E9" w:rsidP="0043600A">
            <w:pPr>
              <w:jc w:val="center"/>
              <w:rPr>
                <w:rFonts w:cs="Segoe UI Semilight"/>
                <w:b/>
                <w:szCs w:val="20"/>
                <w:lang w:val="sq-AL"/>
              </w:rPr>
            </w:pPr>
          </w:p>
        </w:tc>
        <w:tc>
          <w:tcPr>
            <w:tcW w:w="4927" w:type="dxa"/>
          </w:tcPr>
          <w:p w14:paraId="6C441DA6" w14:textId="72E8D39C" w:rsidR="00A404E9" w:rsidRPr="0003605B" w:rsidRDefault="00A404E9" w:rsidP="0043600A">
            <w:pPr>
              <w:jc w:val="center"/>
              <w:rPr>
                <w:rFonts w:cs="Segoe UI Semilight"/>
                <w:b/>
                <w:szCs w:val="20"/>
                <w:lang w:val="sq-AL"/>
              </w:rPr>
            </w:pPr>
            <w:r w:rsidRPr="0003605B">
              <w:rPr>
                <w:rFonts w:cs="Segoe UI Semilight"/>
                <w:b/>
                <w:szCs w:val="20"/>
                <w:lang w:val="sq-AL"/>
              </w:rPr>
              <w:t xml:space="preserve">4.2 </w:t>
            </w:r>
            <w:r w:rsidR="00E644BF" w:rsidRPr="0003605B">
              <w:rPr>
                <w:rFonts w:cs="Segoe UI Semilight"/>
                <w:b/>
                <w:szCs w:val="20"/>
                <w:lang w:val="sq-AL"/>
              </w:rPr>
              <w:t>Rrënja e shkakut</w:t>
            </w:r>
            <w:r w:rsidRPr="0003605B">
              <w:rPr>
                <w:rFonts w:cs="Segoe UI Semilight"/>
                <w:szCs w:val="20"/>
                <w:lang w:val="sq-AL"/>
              </w:rPr>
              <w:br/>
            </w:r>
            <w:r w:rsidR="002A0DD2" w:rsidRPr="0003605B">
              <w:rPr>
                <w:rFonts w:cs="Segoe UI Semilight"/>
                <w:color w:val="212121"/>
                <w:szCs w:val="20"/>
                <w:shd w:val="clear" w:color="auto" w:fill="FFFFFF"/>
                <w:lang w:val="sq-AL"/>
              </w:rPr>
              <w:t>Institucionet përgjegjëse dhe aktorët e tjerë nuk ofrojnë programe trajnimi për ndërtimin / ngritjen e kapaciteteve të OSHC-ve për të kontribuar në procesin e bërjes së politikave.</w:t>
            </w:r>
          </w:p>
        </w:tc>
      </w:tr>
      <w:tr w:rsidR="00A404E9" w:rsidRPr="008362F3" w14:paraId="0D5B3C8F" w14:textId="77777777" w:rsidTr="0043600A">
        <w:tc>
          <w:tcPr>
            <w:tcW w:w="1809" w:type="dxa"/>
            <w:vMerge/>
          </w:tcPr>
          <w:p w14:paraId="054B6EE0" w14:textId="77777777" w:rsidR="00A404E9" w:rsidRPr="0003605B" w:rsidRDefault="00A404E9" w:rsidP="0043600A">
            <w:pPr>
              <w:rPr>
                <w:rFonts w:cs="Segoe UI Semilight"/>
                <w:szCs w:val="20"/>
                <w:lang w:val="sq-AL"/>
              </w:rPr>
            </w:pPr>
          </w:p>
        </w:tc>
        <w:tc>
          <w:tcPr>
            <w:tcW w:w="2552" w:type="dxa"/>
            <w:vMerge/>
          </w:tcPr>
          <w:p w14:paraId="39E92B31" w14:textId="77777777" w:rsidR="00A404E9" w:rsidRPr="0003605B" w:rsidRDefault="00A404E9" w:rsidP="0043600A">
            <w:pPr>
              <w:jc w:val="center"/>
              <w:rPr>
                <w:rFonts w:cs="Segoe UI Semilight"/>
                <w:b/>
                <w:szCs w:val="20"/>
                <w:lang w:val="sq-AL"/>
              </w:rPr>
            </w:pPr>
          </w:p>
        </w:tc>
        <w:tc>
          <w:tcPr>
            <w:tcW w:w="4927" w:type="dxa"/>
          </w:tcPr>
          <w:p w14:paraId="412AC9E6" w14:textId="5EBBC115" w:rsidR="00A404E9" w:rsidRPr="0003605B" w:rsidRDefault="00A404E9" w:rsidP="0043600A">
            <w:pPr>
              <w:jc w:val="center"/>
              <w:rPr>
                <w:rFonts w:cs="Segoe UI Semilight"/>
                <w:b/>
                <w:szCs w:val="20"/>
                <w:lang w:val="sq-AL"/>
              </w:rPr>
            </w:pPr>
            <w:r w:rsidRPr="0003605B">
              <w:rPr>
                <w:rFonts w:cs="Segoe UI Semilight"/>
                <w:b/>
                <w:szCs w:val="20"/>
                <w:lang w:val="sq-AL"/>
              </w:rPr>
              <w:t xml:space="preserve">4.3 </w:t>
            </w:r>
            <w:r w:rsidR="00E644BF" w:rsidRPr="0003605B">
              <w:rPr>
                <w:rFonts w:cs="Segoe UI Semilight"/>
                <w:b/>
                <w:szCs w:val="20"/>
                <w:lang w:val="sq-AL"/>
              </w:rPr>
              <w:t>Rrënja e shkakut</w:t>
            </w:r>
          </w:p>
          <w:p w14:paraId="3616377B" w14:textId="471AC26A" w:rsidR="00A404E9" w:rsidRPr="0003605B" w:rsidRDefault="002A0DD2" w:rsidP="0043600A">
            <w:pPr>
              <w:rPr>
                <w:rFonts w:cs="Segoe UI Semilight"/>
                <w:szCs w:val="20"/>
                <w:lang w:val="sq-AL"/>
              </w:rPr>
            </w:pPr>
            <w:r w:rsidRPr="0003605B">
              <w:rPr>
                <w:rFonts w:eastAsia="Times New Roman" w:cs="Segoe UI Semilight"/>
                <w:color w:val="212121"/>
                <w:szCs w:val="20"/>
                <w:lang w:val="sq-AL"/>
              </w:rPr>
              <w:t>OSHC-të nuk krijojnë rrjete, forume apo iniciativa të mjaftueshme për tema të veçanta që do të sigurojnë dhe lehtësojnë mbështetjen në procesin e bërjes së politikave.</w:t>
            </w:r>
          </w:p>
        </w:tc>
      </w:tr>
      <w:tr w:rsidR="00A404E9" w:rsidRPr="008362F3" w14:paraId="7B7D1CF9" w14:textId="77777777" w:rsidTr="0043600A">
        <w:tc>
          <w:tcPr>
            <w:tcW w:w="1809" w:type="dxa"/>
            <w:vMerge/>
          </w:tcPr>
          <w:p w14:paraId="002EE962" w14:textId="77777777" w:rsidR="00A404E9" w:rsidRPr="0003605B" w:rsidRDefault="00A404E9" w:rsidP="0043600A">
            <w:pPr>
              <w:rPr>
                <w:rFonts w:cs="Segoe UI Semilight"/>
                <w:szCs w:val="20"/>
                <w:lang w:val="sq-AL"/>
              </w:rPr>
            </w:pPr>
          </w:p>
        </w:tc>
        <w:tc>
          <w:tcPr>
            <w:tcW w:w="2552" w:type="dxa"/>
            <w:vMerge/>
          </w:tcPr>
          <w:p w14:paraId="22BC0741" w14:textId="77777777" w:rsidR="00A404E9" w:rsidRPr="0003605B" w:rsidRDefault="00A404E9" w:rsidP="0043600A">
            <w:pPr>
              <w:jc w:val="center"/>
              <w:rPr>
                <w:rFonts w:cs="Segoe UI Semilight"/>
                <w:b/>
                <w:szCs w:val="20"/>
                <w:lang w:val="sq-AL"/>
              </w:rPr>
            </w:pPr>
          </w:p>
        </w:tc>
        <w:tc>
          <w:tcPr>
            <w:tcW w:w="4927" w:type="dxa"/>
          </w:tcPr>
          <w:p w14:paraId="226F1A5D" w14:textId="7157E57B" w:rsidR="00A404E9" w:rsidRPr="0003605B" w:rsidRDefault="00A404E9" w:rsidP="0043600A">
            <w:pPr>
              <w:jc w:val="center"/>
              <w:rPr>
                <w:rFonts w:cs="Segoe UI Semilight"/>
                <w:b/>
                <w:szCs w:val="20"/>
                <w:lang w:val="sq-AL"/>
              </w:rPr>
            </w:pPr>
            <w:r w:rsidRPr="0003605B">
              <w:rPr>
                <w:rFonts w:cs="Segoe UI Semilight"/>
                <w:b/>
                <w:szCs w:val="20"/>
                <w:lang w:val="sq-AL"/>
              </w:rPr>
              <w:t xml:space="preserve">4.4 </w:t>
            </w:r>
            <w:r w:rsidR="00E644BF" w:rsidRPr="0003605B">
              <w:rPr>
                <w:rFonts w:cs="Segoe UI Semilight"/>
                <w:b/>
                <w:szCs w:val="20"/>
                <w:lang w:val="sq-AL"/>
              </w:rPr>
              <w:t>Rrënja e shkakut</w:t>
            </w:r>
          </w:p>
          <w:p w14:paraId="608578EE" w14:textId="7E2C2DA7" w:rsidR="00A404E9" w:rsidRPr="0003605B" w:rsidRDefault="00E644BF" w:rsidP="0043600A">
            <w:pPr>
              <w:rPr>
                <w:rFonts w:cs="Segoe UI Semilight"/>
                <w:szCs w:val="20"/>
                <w:lang w:val="sq-AL"/>
              </w:rPr>
            </w:pPr>
            <w:r w:rsidRPr="0003605B">
              <w:rPr>
                <w:rFonts w:eastAsia="Times New Roman" w:cs="Segoe UI Semilight"/>
                <w:color w:val="212121"/>
                <w:szCs w:val="20"/>
                <w:lang w:val="sq-AL"/>
              </w:rPr>
              <w:t>OSHC-të nuk mund të përdorin metoda të ndryshme për konsultime publike.</w:t>
            </w:r>
          </w:p>
        </w:tc>
      </w:tr>
      <w:tr w:rsidR="00A404E9" w:rsidRPr="008362F3" w14:paraId="4C65F486" w14:textId="77777777" w:rsidTr="0043600A">
        <w:tc>
          <w:tcPr>
            <w:tcW w:w="1809" w:type="dxa"/>
            <w:vMerge/>
          </w:tcPr>
          <w:p w14:paraId="09CD667C" w14:textId="77777777" w:rsidR="00A404E9" w:rsidRPr="0003605B" w:rsidRDefault="00A404E9" w:rsidP="0043600A">
            <w:pPr>
              <w:rPr>
                <w:rFonts w:cs="Segoe UI Semilight"/>
                <w:szCs w:val="20"/>
                <w:lang w:val="sq-AL"/>
              </w:rPr>
            </w:pPr>
          </w:p>
        </w:tc>
        <w:tc>
          <w:tcPr>
            <w:tcW w:w="2552" w:type="dxa"/>
            <w:vMerge/>
          </w:tcPr>
          <w:p w14:paraId="27E1576C" w14:textId="77777777" w:rsidR="00A404E9" w:rsidRPr="0003605B" w:rsidRDefault="00A404E9" w:rsidP="0043600A">
            <w:pPr>
              <w:jc w:val="center"/>
              <w:rPr>
                <w:rFonts w:cs="Segoe UI Semilight"/>
                <w:b/>
                <w:szCs w:val="20"/>
                <w:lang w:val="sq-AL"/>
              </w:rPr>
            </w:pPr>
          </w:p>
        </w:tc>
        <w:tc>
          <w:tcPr>
            <w:tcW w:w="4927" w:type="dxa"/>
          </w:tcPr>
          <w:p w14:paraId="0AE3A2CE" w14:textId="66CF54ED" w:rsidR="00A404E9" w:rsidRPr="0003605B" w:rsidRDefault="00A404E9" w:rsidP="0043600A">
            <w:pPr>
              <w:jc w:val="center"/>
              <w:rPr>
                <w:rFonts w:cs="Segoe UI Semilight"/>
                <w:b/>
                <w:szCs w:val="20"/>
                <w:lang w:val="sq-AL"/>
              </w:rPr>
            </w:pPr>
            <w:r w:rsidRPr="0003605B">
              <w:rPr>
                <w:rFonts w:cs="Segoe UI Semilight"/>
                <w:b/>
                <w:szCs w:val="20"/>
                <w:lang w:val="sq-AL"/>
              </w:rPr>
              <w:t xml:space="preserve">4.5 </w:t>
            </w:r>
            <w:r w:rsidR="00E644BF" w:rsidRPr="0003605B">
              <w:rPr>
                <w:rFonts w:cs="Segoe UI Semilight"/>
                <w:b/>
                <w:szCs w:val="20"/>
                <w:lang w:val="sq-AL"/>
              </w:rPr>
              <w:t>Rrënja e shkakut</w:t>
            </w:r>
          </w:p>
          <w:p w14:paraId="48B89771" w14:textId="395C69A3" w:rsidR="00E644BF" w:rsidRPr="0003605B" w:rsidRDefault="00E644BF" w:rsidP="0043600A">
            <w:pPr>
              <w:pStyle w:val="HTMLPreformatted"/>
              <w:shd w:val="clear" w:color="auto" w:fill="FFFFFF"/>
              <w:rPr>
                <w:rFonts w:ascii="Segoe UI Semilight" w:hAnsi="Segoe UI Semilight" w:cs="Segoe UI Semilight"/>
                <w:color w:val="212121"/>
                <w:lang w:val="sq-AL"/>
              </w:rPr>
            </w:pPr>
            <w:r w:rsidRPr="0003605B">
              <w:rPr>
                <w:rFonts w:ascii="Segoe UI Semilight" w:hAnsi="Segoe UI Semilight" w:cs="Segoe UI Semilight"/>
                <w:color w:val="212121"/>
                <w:lang w:val="sq-AL"/>
              </w:rPr>
              <w:t>Qeveria / ministritë nuk japin grante për OSHC-të që kanë mundësi të ndihmojnë në procesin e hartimit të politikave.</w:t>
            </w:r>
          </w:p>
          <w:p w14:paraId="69325EA6" w14:textId="77777777" w:rsidR="00A404E9" w:rsidRPr="0003605B" w:rsidRDefault="00A404E9" w:rsidP="00E644BF">
            <w:pPr>
              <w:pStyle w:val="HTMLPreformatted"/>
              <w:shd w:val="clear" w:color="auto" w:fill="FFFFFF"/>
              <w:rPr>
                <w:rFonts w:cs="Segoe UI Semilight"/>
                <w:lang w:val="sq-AL"/>
              </w:rPr>
            </w:pPr>
          </w:p>
        </w:tc>
      </w:tr>
      <w:bookmarkEnd w:id="15"/>
    </w:tbl>
    <w:p w14:paraId="67A3BB30" w14:textId="258743FE" w:rsidR="00A404E9" w:rsidRPr="00A404E9" w:rsidRDefault="00A404E9" w:rsidP="00972C0F">
      <w:pPr>
        <w:rPr>
          <w:rFonts w:cs="Calibri Light"/>
        </w:rPr>
      </w:pPr>
    </w:p>
    <w:p w14:paraId="514829A9" w14:textId="20D652B6" w:rsidR="00A404E9" w:rsidRDefault="00E644BF" w:rsidP="00972C0F">
      <w:pPr>
        <w:rPr>
          <w:rFonts w:cs="Calibri Light"/>
          <w:lang w:val="sq-AL"/>
        </w:rPr>
      </w:pPr>
      <w:r w:rsidRPr="00E644BF">
        <w:rPr>
          <w:rFonts w:cs="Calibri Light"/>
          <w:lang w:val="sq-AL"/>
        </w:rPr>
        <w:t>Për informacion</w:t>
      </w:r>
      <w:r>
        <w:rPr>
          <w:rFonts w:cs="Calibri Light"/>
          <w:lang w:val="sq-AL"/>
        </w:rPr>
        <w:t>e</w:t>
      </w:r>
      <w:r w:rsidRPr="00E644BF">
        <w:rPr>
          <w:rFonts w:cs="Calibri Light"/>
          <w:lang w:val="sq-AL"/>
        </w:rPr>
        <w:t xml:space="preserve"> më të detajuar</w:t>
      </w:r>
      <w:r>
        <w:rPr>
          <w:rFonts w:cs="Calibri Light"/>
          <w:lang w:val="sq-AL"/>
        </w:rPr>
        <w:t>a</w:t>
      </w:r>
      <w:r w:rsidRPr="00E644BF">
        <w:rPr>
          <w:rFonts w:cs="Calibri Light"/>
          <w:lang w:val="sq-AL"/>
        </w:rPr>
        <w:t xml:space="preserve"> të nxjerr</w:t>
      </w:r>
      <w:r>
        <w:rPr>
          <w:rFonts w:cs="Calibri Light"/>
          <w:lang w:val="sq-AL"/>
        </w:rPr>
        <w:t>a</w:t>
      </w:r>
      <w:r w:rsidRPr="00E644BF">
        <w:rPr>
          <w:rFonts w:cs="Calibri Light"/>
          <w:lang w:val="sq-AL"/>
        </w:rPr>
        <w:t xml:space="preserve"> drejtpërdrejt nga Matrica e Monitorimit, referojuni tabelës në vijim.</w:t>
      </w:r>
    </w:p>
    <w:p w14:paraId="5DFCCFE0" w14:textId="77777777" w:rsidR="00A404E9" w:rsidRPr="00082FA3" w:rsidRDefault="00A404E9" w:rsidP="00972C0F">
      <w:pPr>
        <w:rPr>
          <w:rFonts w:cs="Calibri Light"/>
          <w:lang w:val="sq-AL"/>
        </w:rPr>
      </w:pPr>
    </w:p>
    <w:tbl>
      <w:tblPr>
        <w:tblW w:w="9102" w:type="dxa"/>
        <w:tblInd w:w="-38" w:type="dxa"/>
        <w:tblLayout w:type="fixed"/>
        <w:tblLook w:val="0000" w:firstRow="0" w:lastRow="0" w:firstColumn="0" w:lastColumn="0" w:noHBand="0" w:noVBand="0"/>
      </w:tblPr>
      <w:tblGrid>
        <w:gridCol w:w="3798"/>
        <w:gridCol w:w="4515"/>
        <w:gridCol w:w="789"/>
      </w:tblGrid>
      <w:tr w:rsidR="00C94FB4" w:rsidRPr="00082FA3" w14:paraId="67D2A039" w14:textId="77777777" w:rsidTr="002C343C">
        <w:trPr>
          <w:trHeight w:val="312"/>
        </w:trPr>
        <w:tc>
          <w:tcPr>
            <w:tcW w:w="3798" w:type="dxa"/>
            <w:tcBorders>
              <w:top w:val="single" w:sz="6" w:space="0" w:color="auto"/>
              <w:left w:val="single" w:sz="6" w:space="0" w:color="auto"/>
              <w:bottom w:val="nil"/>
              <w:right w:val="nil"/>
            </w:tcBorders>
          </w:tcPr>
          <w:p w14:paraId="0FEE2B0D" w14:textId="77777777" w:rsidR="00C94FB4" w:rsidRPr="00082FA3" w:rsidRDefault="00C94FB4" w:rsidP="00EC5138">
            <w:pPr>
              <w:autoSpaceDE w:val="0"/>
              <w:autoSpaceDN w:val="0"/>
              <w:adjustRightInd w:val="0"/>
              <w:contextualSpacing w:val="0"/>
              <w:rPr>
                <w:rFonts w:cs="Segoe UI Semilight"/>
                <w:b/>
                <w:bCs/>
                <w:color w:val="000000"/>
                <w:sz w:val="28"/>
                <w:szCs w:val="28"/>
                <w:lang w:val="sq-AL"/>
              </w:rPr>
            </w:pPr>
            <w:r w:rsidRPr="00082FA3">
              <w:rPr>
                <w:rFonts w:cs="Segoe UI Semilight"/>
                <w:b/>
                <w:bCs/>
                <w:color w:val="000000"/>
                <w:sz w:val="28"/>
                <w:szCs w:val="28"/>
                <w:lang w:val="sq-AL"/>
              </w:rPr>
              <w:t xml:space="preserve">Matrica e Monitorimit </w:t>
            </w:r>
          </w:p>
        </w:tc>
        <w:tc>
          <w:tcPr>
            <w:tcW w:w="4515" w:type="dxa"/>
            <w:tcBorders>
              <w:top w:val="single" w:sz="6" w:space="0" w:color="auto"/>
              <w:left w:val="nil"/>
              <w:bottom w:val="nil"/>
              <w:right w:val="nil"/>
            </w:tcBorders>
          </w:tcPr>
          <w:p w14:paraId="3EF63AB5" w14:textId="77777777" w:rsidR="00C94FB4" w:rsidRPr="00082FA3" w:rsidRDefault="00C94FB4">
            <w:pPr>
              <w:autoSpaceDE w:val="0"/>
              <w:autoSpaceDN w:val="0"/>
              <w:adjustRightInd w:val="0"/>
              <w:contextualSpacing w:val="0"/>
              <w:jc w:val="center"/>
              <w:rPr>
                <w:rFonts w:cs="Segoe UI Semilight"/>
                <w:b/>
                <w:bCs/>
                <w:color w:val="000000"/>
                <w:sz w:val="28"/>
                <w:szCs w:val="28"/>
                <w:lang w:val="sq-AL"/>
              </w:rPr>
            </w:pPr>
          </w:p>
        </w:tc>
        <w:tc>
          <w:tcPr>
            <w:tcW w:w="789" w:type="dxa"/>
            <w:tcBorders>
              <w:top w:val="single" w:sz="6" w:space="0" w:color="auto"/>
              <w:left w:val="nil"/>
              <w:bottom w:val="nil"/>
              <w:right w:val="single" w:sz="6" w:space="0" w:color="auto"/>
            </w:tcBorders>
          </w:tcPr>
          <w:p w14:paraId="0737194F" w14:textId="77777777" w:rsidR="00C94FB4" w:rsidRPr="00082FA3" w:rsidRDefault="00C94FB4">
            <w:pPr>
              <w:autoSpaceDE w:val="0"/>
              <w:autoSpaceDN w:val="0"/>
              <w:adjustRightInd w:val="0"/>
              <w:contextualSpacing w:val="0"/>
              <w:jc w:val="center"/>
              <w:rPr>
                <w:rFonts w:cs="Segoe UI Semilight"/>
                <w:b/>
                <w:bCs/>
                <w:color w:val="000000"/>
                <w:sz w:val="28"/>
                <w:szCs w:val="28"/>
                <w:lang w:val="sq-AL"/>
              </w:rPr>
            </w:pPr>
          </w:p>
        </w:tc>
      </w:tr>
      <w:tr w:rsidR="00C94FB4" w:rsidRPr="00082FA3" w14:paraId="323F249A" w14:textId="77777777" w:rsidTr="002C343C">
        <w:trPr>
          <w:trHeight w:val="312"/>
        </w:trPr>
        <w:tc>
          <w:tcPr>
            <w:tcW w:w="3798" w:type="dxa"/>
            <w:tcBorders>
              <w:top w:val="nil"/>
              <w:left w:val="single" w:sz="6" w:space="0" w:color="auto"/>
              <w:bottom w:val="single" w:sz="6" w:space="0" w:color="C0C0C0"/>
              <w:right w:val="nil"/>
            </w:tcBorders>
          </w:tcPr>
          <w:p w14:paraId="16599136" w14:textId="77777777" w:rsidR="00C94FB4" w:rsidRPr="00082FA3" w:rsidRDefault="00C94FB4">
            <w:pPr>
              <w:autoSpaceDE w:val="0"/>
              <w:autoSpaceDN w:val="0"/>
              <w:adjustRightInd w:val="0"/>
              <w:contextualSpacing w:val="0"/>
              <w:jc w:val="center"/>
              <w:rPr>
                <w:rFonts w:cs="Segoe UI Semilight"/>
                <w:b/>
                <w:bCs/>
                <w:color w:val="000000"/>
                <w:sz w:val="28"/>
                <w:szCs w:val="28"/>
                <w:lang w:val="sq-AL"/>
              </w:rPr>
            </w:pPr>
          </w:p>
        </w:tc>
        <w:tc>
          <w:tcPr>
            <w:tcW w:w="4515" w:type="dxa"/>
            <w:tcBorders>
              <w:top w:val="nil"/>
              <w:left w:val="nil"/>
              <w:bottom w:val="single" w:sz="6" w:space="0" w:color="C0C0C0"/>
              <w:right w:val="nil"/>
            </w:tcBorders>
          </w:tcPr>
          <w:p w14:paraId="05248AAE" w14:textId="77777777" w:rsidR="00C94FB4" w:rsidRPr="00082FA3" w:rsidRDefault="00C94FB4">
            <w:pPr>
              <w:autoSpaceDE w:val="0"/>
              <w:autoSpaceDN w:val="0"/>
              <w:adjustRightInd w:val="0"/>
              <w:contextualSpacing w:val="0"/>
              <w:jc w:val="center"/>
              <w:rPr>
                <w:rFonts w:cs="Segoe UI Semilight"/>
                <w:b/>
                <w:bCs/>
                <w:color w:val="000000"/>
                <w:sz w:val="28"/>
                <w:szCs w:val="28"/>
                <w:lang w:val="sq-AL"/>
              </w:rPr>
            </w:pPr>
          </w:p>
        </w:tc>
        <w:tc>
          <w:tcPr>
            <w:tcW w:w="789" w:type="dxa"/>
            <w:tcBorders>
              <w:top w:val="nil"/>
              <w:left w:val="nil"/>
              <w:bottom w:val="single" w:sz="6" w:space="0" w:color="C0C0C0"/>
              <w:right w:val="single" w:sz="6" w:space="0" w:color="auto"/>
            </w:tcBorders>
          </w:tcPr>
          <w:p w14:paraId="65E8E251" w14:textId="77777777" w:rsidR="00C94FB4" w:rsidRPr="00082FA3" w:rsidRDefault="00C94FB4">
            <w:pPr>
              <w:autoSpaceDE w:val="0"/>
              <w:autoSpaceDN w:val="0"/>
              <w:adjustRightInd w:val="0"/>
              <w:contextualSpacing w:val="0"/>
              <w:jc w:val="center"/>
              <w:rPr>
                <w:rFonts w:cs="Segoe UI Semilight"/>
                <w:b/>
                <w:bCs/>
                <w:color w:val="000000"/>
                <w:sz w:val="28"/>
                <w:szCs w:val="28"/>
                <w:lang w:val="sq-AL"/>
              </w:rPr>
            </w:pPr>
          </w:p>
        </w:tc>
      </w:tr>
      <w:tr w:rsidR="00C94FB4" w:rsidRPr="00082FA3" w14:paraId="0E8868E6" w14:textId="77777777" w:rsidTr="002C343C">
        <w:trPr>
          <w:trHeight w:val="464"/>
        </w:trPr>
        <w:tc>
          <w:tcPr>
            <w:tcW w:w="3798" w:type="dxa"/>
            <w:tcBorders>
              <w:top w:val="nil"/>
              <w:left w:val="single" w:sz="6" w:space="0" w:color="auto"/>
              <w:bottom w:val="single" w:sz="6" w:space="0" w:color="auto"/>
              <w:right w:val="single" w:sz="6" w:space="0" w:color="auto"/>
            </w:tcBorders>
            <w:shd w:val="solid" w:color="808080" w:fill="auto"/>
          </w:tcPr>
          <w:p w14:paraId="3B6C065B" w14:textId="77777777" w:rsidR="00C94FB4" w:rsidRPr="00082FA3" w:rsidRDefault="00C94FB4">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Veprimi</w:t>
            </w:r>
          </w:p>
        </w:tc>
        <w:tc>
          <w:tcPr>
            <w:tcW w:w="4515" w:type="dxa"/>
            <w:tcBorders>
              <w:top w:val="nil"/>
              <w:left w:val="single" w:sz="6" w:space="0" w:color="auto"/>
              <w:bottom w:val="single" w:sz="6" w:space="0" w:color="auto"/>
              <w:right w:val="single" w:sz="6" w:space="0" w:color="auto"/>
            </w:tcBorders>
            <w:shd w:val="solid" w:color="808080" w:fill="auto"/>
          </w:tcPr>
          <w:p w14:paraId="3A3CA5CE" w14:textId="77777777" w:rsidR="00C94FB4" w:rsidRPr="00082FA3" w:rsidRDefault="00C94FB4">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Treguesi i Progresit</w:t>
            </w:r>
          </w:p>
        </w:tc>
        <w:tc>
          <w:tcPr>
            <w:tcW w:w="789" w:type="dxa"/>
            <w:tcBorders>
              <w:top w:val="nil"/>
              <w:left w:val="single" w:sz="6" w:space="0" w:color="auto"/>
              <w:bottom w:val="single" w:sz="6" w:space="0" w:color="auto"/>
              <w:right w:val="single" w:sz="6" w:space="0" w:color="auto"/>
            </w:tcBorders>
            <w:shd w:val="solid" w:color="808080" w:fill="auto"/>
          </w:tcPr>
          <w:p w14:paraId="43B19405" w14:textId="77777777" w:rsidR="00C94FB4" w:rsidRPr="00082FA3" w:rsidRDefault="00C94FB4">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 xml:space="preserve">Notimi </w:t>
            </w:r>
          </w:p>
        </w:tc>
      </w:tr>
      <w:tr w:rsidR="002C343C" w:rsidRPr="00082FA3" w14:paraId="06958E35" w14:textId="77777777" w:rsidTr="002C343C">
        <w:trPr>
          <w:trHeight w:val="646"/>
        </w:trPr>
        <w:tc>
          <w:tcPr>
            <w:tcW w:w="9102" w:type="dxa"/>
            <w:gridSpan w:val="3"/>
            <w:tcBorders>
              <w:top w:val="single" w:sz="6" w:space="0" w:color="auto"/>
              <w:left w:val="single" w:sz="6" w:space="0" w:color="auto"/>
              <w:bottom w:val="single" w:sz="6" w:space="0" w:color="auto"/>
              <w:right w:val="single" w:sz="6" w:space="0" w:color="auto"/>
            </w:tcBorders>
            <w:shd w:val="solid" w:color="333333" w:fill="auto"/>
          </w:tcPr>
          <w:p w14:paraId="28314E4C" w14:textId="1E2F9794" w:rsidR="002C343C" w:rsidRPr="00082FA3" w:rsidRDefault="002C343C" w:rsidP="002C343C">
            <w:pPr>
              <w:autoSpaceDE w:val="0"/>
              <w:autoSpaceDN w:val="0"/>
              <w:adjustRightInd w:val="0"/>
              <w:contextualSpacing w:val="0"/>
              <w:jc w:val="left"/>
              <w:rPr>
                <w:rFonts w:cs="Segoe UI Semilight"/>
                <w:color w:val="000000"/>
                <w:sz w:val="24"/>
                <w:szCs w:val="24"/>
                <w:lang w:val="sq-AL"/>
              </w:rPr>
            </w:pPr>
            <w:r w:rsidRPr="00082FA3">
              <w:rPr>
                <w:rFonts w:cs="Segoe UI Semilight"/>
                <w:b/>
                <w:bCs/>
                <w:color w:val="FFFFFF"/>
                <w:sz w:val="24"/>
                <w:szCs w:val="24"/>
                <w:lang w:val="sq-AL"/>
              </w:rPr>
              <w:t>Objektivi Strategjik: 1. Pjesëmarrje e siguruar dhe e fuqizuar e shoqërisë civile në hartimin dhe zbatimin e politikave dhe legjislacionit</w:t>
            </w:r>
          </w:p>
        </w:tc>
      </w:tr>
      <w:tr w:rsidR="00C94FB4" w:rsidRPr="00082FA3" w14:paraId="4EAA10C1" w14:textId="77777777" w:rsidTr="00EC5138">
        <w:trPr>
          <w:trHeight w:val="676"/>
        </w:trPr>
        <w:tc>
          <w:tcPr>
            <w:tcW w:w="9102" w:type="dxa"/>
            <w:gridSpan w:val="3"/>
            <w:tcBorders>
              <w:top w:val="single" w:sz="6" w:space="0" w:color="auto"/>
              <w:left w:val="single" w:sz="6" w:space="0" w:color="auto"/>
              <w:bottom w:val="single" w:sz="6" w:space="0" w:color="auto"/>
              <w:right w:val="single" w:sz="6" w:space="0" w:color="auto"/>
            </w:tcBorders>
            <w:shd w:val="solid" w:color="C0C0C0" w:fill="auto"/>
          </w:tcPr>
          <w:p w14:paraId="327D3D81" w14:textId="77777777" w:rsidR="00C94FB4" w:rsidRPr="00082FA3" w:rsidRDefault="00C94FB4">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1.1. Hartimi/plotësim-ndryshimi i legjislacionit bazë/referues për përfshirje të OShC në hartim dhe zbatim të politikave</w:t>
            </w:r>
          </w:p>
        </w:tc>
      </w:tr>
      <w:tr w:rsidR="00C94FB4" w:rsidRPr="00082FA3" w14:paraId="4D1C91D8" w14:textId="77777777" w:rsidTr="002C343C">
        <w:trPr>
          <w:trHeight w:val="646"/>
        </w:trPr>
        <w:tc>
          <w:tcPr>
            <w:tcW w:w="3798" w:type="dxa"/>
            <w:tcBorders>
              <w:top w:val="single" w:sz="6" w:space="0" w:color="auto"/>
              <w:left w:val="single" w:sz="6" w:space="0" w:color="auto"/>
              <w:bottom w:val="single" w:sz="6" w:space="0" w:color="auto"/>
              <w:right w:val="single" w:sz="6" w:space="0" w:color="auto"/>
            </w:tcBorders>
          </w:tcPr>
          <w:p w14:paraId="6D519F04"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1.1.1. Identifikimi i legjislacionit përkatës për hartim/plotësim-ndryshim</w:t>
            </w:r>
          </w:p>
        </w:tc>
        <w:tc>
          <w:tcPr>
            <w:tcW w:w="4515" w:type="dxa"/>
            <w:tcBorders>
              <w:top w:val="single" w:sz="6" w:space="0" w:color="auto"/>
              <w:left w:val="single" w:sz="6" w:space="0" w:color="auto"/>
              <w:bottom w:val="single" w:sz="6" w:space="0" w:color="auto"/>
              <w:right w:val="single" w:sz="6" w:space="0" w:color="auto"/>
            </w:tcBorders>
          </w:tcPr>
          <w:p w14:paraId="6F4E53A9" w14:textId="38AAD681"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 xml:space="preserve">Është </w:t>
            </w:r>
            <w:r w:rsidR="00EC5138" w:rsidRPr="00082FA3">
              <w:rPr>
                <w:rFonts w:cs="Segoe UI Semilight"/>
                <w:color w:val="000000"/>
                <w:szCs w:val="20"/>
                <w:lang w:val="sq-AL"/>
              </w:rPr>
              <w:t>identifikuar legjislacioni</w:t>
            </w:r>
            <w:r w:rsidRPr="00082FA3">
              <w:rPr>
                <w:rFonts w:cs="Segoe UI Semilight"/>
                <w:color w:val="000000"/>
                <w:szCs w:val="20"/>
                <w:lang w:val="sq-AL"/>
              </w:rPr>
              <w:t xml:space="preserve"> përkatës për hartim/plotësim-ndryshim</w:t>
            </w:r>
          </w:p>
        </w:tc>
        <w:tc>
          <w:tcPr>
            <w:tcW w:w="789" w:type="dxa"/>
            <w:tcBorders>
              <w:top w:val="single" w:sz="6" w:space="0" w:color="auto"/>
              <w:left w:val="single" w:sz="6" w:space="0" w:color="auto"/>
              <w:bottom w:val="single" w:sz="6" w:space="0" w:color="auto"/>
              <w:right w:val="single" w:sz="6" w:space="0" w:color="auto"/>
            </w:tcBorders>
          </w:tcPr>
          <w:p w14:paraId="2AEC7A4C"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C94FB4" w:rsidRPr="00082FA3" w14:paraId="56579C64"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5C13FC4F"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1.1.2. Adresimi i çështjeve të identifikuara bazuar në rekomandimet e dala nga analiza</w:t>
            </w:r>
          </w:p>
        </w:tc>
        <w:tc>
          <w:tcPr>
            <w:tcW w:w="4515" w:type="dxa"/>
            <w:tcBorders>
              <w:top w:val="single" w:sz="6" w:space="0" w:color="auto"/>
              <w:left w:val="single" w:sz="6" w:space="0" w:color="auto"/>
              <w:bottom w:val="single" w:sz="6" w:space="0" w:color="auto"/>
              <w:right w:val="single" w:sz="6" w:space="0" w:color="auto"/>
            </w:tcBorders>
          </w:tcPr>
          <w:p w14:paraId="05C351AC"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hartuar Aktet nënligjore për zbatimin e legjislacionit në fuqi</w:t>
            </w:r>
          </w:p>
        </w:tc>
        <w:tc>
          <w:tcPr>
            <w:tcW w:w="789" w:type="dxa"/>
            <w:tcBorders>
              <w:top w:val="single" w:sz="6" w:space="0" w:color="auto"/>
              <w:left w:val="single" w:sz="6" w:space="0" w:color="auto"/>
              <w:bottom w:val="single" w:sz="6" w:space="0" w:color="auto"/>
              <w:right w:val="single" w:sz="6" w:space="0" w:color="auto"/>
            </w:tcBorders>
          </w:tcPr>
          <w:p w14:paraId="3120E756"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C94FB4" w:rsidRPr="00082FA3" w14:paraId="5DA49D39" w14:textId="77777777" w:rsidTr="00EC5138">
        <w:trPr>
          <w:trHeight w:val="676"/>
        </w:trPr>
        <w:tc>
          <w:tcPr>
            <w:tcW w:w="8313" w:type="dxa"/>
            <w:gridSpan w:val="2"/>
            <w:tcBorders>
              <w:top w:val="single" w:sz="6" w:space="0" w:color="auto"/>
              <w:left w:val="single" w:sz="6" w:space="0" w:color="auto"/>
              <w:bottom w:val="single" w:sz="6" w:space="0" w:color="auto"/>
              <w:right w:val="nil"/>
            </w:tcBorders>
            <w:shd w:val="clear" w:color="auto" w:fill="A6A6A6" w:themeFill="background1" w:themeFillShade="A6"/>
          </w:tcPr>
          <w:p w14:paraId="7A179379" w14:textId="77777777" w:rsidR="00C94FB4" w:rsidRPr="00082FA3" w:rsidRDefault="00C94FB4">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1.2. Përcaktimi i standardeve të përfshirjes së OShC në hartimin dhe zbatimin e politikave dhe legjislacionit</w:t>
            </w:r>
          </w:p>
        </w:tc>
        <w:tc>
          <w:tcPr>
            <w:tcW w:w="789" w:type="dxa"/>
            <w:tcBorders>
              <w:top w:val="single" w:sz="6" w:space="0" w:color="auto"/>
              <w:left w:val="nil"/>
              <w:bottom w:val="single" w:sz="6" w:space="0" w:color="auto"/>
              <w:right w:val="single" w:sz="6" w:space="0" w:color="auto"/>
            </w:tcBorders>
            <w:shd w:val="clear" w:color="auto" w:fill="A6A6A6" w:themeFill="background1" w:themeFillShade="A6"/>
          </w:tcPr>
          <w:p w14:paraId="04020C75" w14:textId="77777777" w:rsidR="00C94FB4" w:rsidRPr="00082FA3" w:rsidRDefault="00C94FB4">
            <w:pPr>
              <w:autoSpaceDE w:val="0"/>
              <w:autoSpaceDN w:val="0"/>
              <w:adjustRightInd w:val="0"/>
              <w:contextualSpacing w:val="0"/>
              <w:jc w:val="right"/>
              <w:rPr>
                <w:rFonts w:cs="Segoe UI Semilight"/>
                <w:color w:val="000000"/>
                <w:szCs w:val="20"/>
                <w:lang w:val="sq-AL"/>
              </w:rPr>
            </w:pPr>
          </w:p>
        </w:tc>
      </w:tr>
      <w:tr w:rsidR="00C94FB4" w:rsidRPr="00082FA3" w14:paraId="21B54373" w14:textId="77777777" w:rsidTr="002C343C">
        <w:trPr>
          <w:trHeight w:val="928"/>
        </w:trPr>
        <w:tc>
          <w:tcPr>
            <w:tcW w:w="3798" w:type="dxa"/>
            <w:tcBorders>
              <w:top w:val="single" w:sz="6" w:space="0" w:color="auto"/>
              <w:left w:val="single" w:sz="6" w:space="0" w:color="auto"/>
              <w:bottom w:val="single" w:sz="6" w:space="0" w:color="auto"/>
              <w:right w:val="single" w:sz="6" w:space="0" w:color="auto"/>
            </w:tcBorders>
          </w:tcPr>
          <w:p w14:paraId="0F3080CE" w14:textId="000137E5"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lastRenderedPageBreak/>
              <w:t xml:space="preserve">1.2.1. Krijimi i platformës/databazës e cila siguron informatat mbi profilin </w:t>
            </w:r>
            <w:r w:rsidR="00EC5138" w:rsidRPr="00082FA3">
              <w:rPr>
                <w:rFonts w:cs="Segoe UI Semilight"/>
                <w:color w:val="000000"/>
                <w:szCs w:val="20"/>
                <w:lang w:val="sq-AL"/>
              </w:rPr>
              <w:t>e organizatave</w:t>
            </w:r>
            <w:r w:rsidRPr="00082FA3">
              <w:rPr>
                <w:rFonts w:cs="Segoe UI Semilight"/>
                <w:color w:val="000000"/>
                <w:szCs w:val="20"/>
                <w:lang w:val="sq-AL"/>
              </w:rPr>
              <w:t xml:space="preserve"> e shoqërisë civile në bazë të fushave të tyre të veprimit</w:t>
            </w:r>
          </w:p>
        </w:tc>
        <w:tc>
          <w:tcPr>
            <w:tcW w:w="4515" w:type="dxa"/>
            <w:tcBorders>
              <w:top w:val="single" w:sz="6" w:space="0" w:color="auto"/>
              <w:left w:val="single" w:sz="6" w:space="0" w:color="auto"/>
              <w:bottom w:val="single" w:sz="6" w:space="0" w:color="auto"/>
              <w:right w:val="single" w:sz="6" w:space="0" w:color="auto"/>
            </w:tcBorders>
          </w:tcPr>
          <w:p w14:paraId="52CA244B" w14:textId="05819EEB"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 xml:space="preserve">Janë siguruar informatat mbi profilin </w:t>
            </w:r>
            <w:r w:rsidR="00EC5138" w:rsidRPr="00082FA3">
              <w:rPr>
                <w:rFonts w:cs="Segoe UI Semilight"/>
                <w:color w:val="000000"/>
                <w:szCs w:val="20"/>
                <w:lang w:val="sq-AL"/>
              </w:rPr>
              <w:t>e organizatave</w:t>
            </w:r>
            <w:r w:rsidRPr="00082FA3">
              <w:rPr>
                <w:rFonts w:cs="Segoe UI Semilight"/>
                <w:color w:val="000000"/>
                <w:szCs w:val="20"/>
                <w:lang w:val="sq-AL"/>
              </w:rPr>
              <w:t xml:space="preserve"> të shoqërisë civile përmes hulumtimit në bazë të fushave të tyre të veprimit</w:t>
            </w:r>
          </w:p>
        </w:tc>
        <w:tc>
          <w:tcPr>
            <w:tcW w:w="789" w:type="dxa"/>
            <w:tcBorders>
              <w:top w:val="single" w:sz="6" w:space="0" w:color="auto"/>
              <w:left w:val="single" w:sz="6" w:space="0" w:color="auto"/>
              <w:bottom w:val="single" w:sz="6" w:space="0" w:color="auto"/>
              <w:right w:val="single" w:sz="6" w:space="0" w:color="auto"/>
            </w:tcBorders>
          </w:tcPr>
          <w:p w14:paraId="2FDF39B3"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1773F721"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41E947D4"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1.2.2. Aprovimi i rregullorës për për standardet minimale për konsultime publike</w:t>
            </w:r>
          </w:p>
        </w:tc>
        <w:tc>
          <w:tcPr>
            <w:tcW w:w="4515" w:type="dxa"/>
            <w:tcBorders>
              <w:top w:val="single" w:sz="6" w:space="0" w:color="auto"/>
              <w:left w:val="single" w:sz="6" w:space="0" w:color="auto"/>
              <w:bottom w:val="single" w:sz="6" w:space="0" w:color="auto"/>
              <w:right w:val="single" w:sz="6" w:space="0" w:color="auto"/>
            </w:tcBorders>
          </w:tcPr>
          <w:p w14:paraId="2D755A92"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miratuar aktit rregullativ për standardet minimale të përfshirës OSHC</w:t>
            </w:r>
          </w:p>
        </w:tc>
        <w:tc>
          <w:tcPr>
            <w:tcW w:w="789" w:type="dxa"/>
            <w:tcBorders>
              <w:top w:val="single" w:sz="6" w:space="0" w:color="auto"/>
              <w:left w:val="single" w:sz="6" w:space="0" w:color="auto"/>
              <w:bottom w:val="single" w:sz="6" w:space="0" w:color="auto"/>
              <w:right w:val="single" w:sz="6" w:space="0" w:color="auto"/>
            </w:tcBorders>
          </w:tcPr>
          <w:p w14:paraId="0A20629E"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708A2F1F"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56DC7B83" w14:textId="6484BEC0"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 xml:space="preserve">1.2.3. Promovimi i rregullorës </w:t>
            </w:r>
            <w:r w:rsidR="00EC5138" w:rsidRPr="00082FA3">
              <w:rPr>
                <w:rFonts w:cs="Segoe UI Semilight"/>
                <w:color w:val="000000"/>
                <w:szCs w:val="20"/>
                <w:lang w:val="sq-AL"/>
              </w:rPr>
              <w:t>për standardet</w:t>
            </w:r>
            <w:r w:rsidRPr="00082FA3">
              <w:rPr>
                <w:rFonts w:cs="Segoe UI Semilight"/>
                <w:color w:val="000000"/>
                <w:szCs w:val="20"/>
                <w:lang w:val="sq-AL"/>
              </w:rPr>
              <w:t xml:space="preserve"> minimale për përfshirje të OSHC-ve</w:t>
            </w:r>
          </w:p>
        </w:tc>
        <w:tc>
          <w:tcPr>
            <w:tcW w:w="4515" w:type="dxa"/>
            <w:tcBorders>
              <w:top w:val="single" w:sz="6" w:space="0" w:color="auto"/>
              <w:left w:val="single" w:sz="6" w:space="0" w:color="auto"/>
              <w:bottom w:val="single" w:sz="6" w:space="0" w:color="auto"/>
              <w:right w:val="single" w:sz="6" w:space="0" w:color="auto"/>
            </w:tcBorders>
          </w:tcPr>
          <w:p w14:paraId="637B3837"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promovuar Rregullorja për standardet e përfshirjes së OShC-ve</w:t>
            </w:r>
          </w:p>
        </w:tc>
        <w:tc>
          <w:tcPr>
            <w:tcW w:w="789" w:type="dxa"/>
            <w:tcBorders>
              <w:top w:val="single" w:sz="6" w:space="0" w:color="auto"/>
              <w:left w:val="single" w:sz="6" w:space="0" w:color="auto"/>
              <w:bottom w:val="single" w:sz="6" w:space="0" w:color="auto"/>
              <w:right w:val="single" w:sz="6" w:space="0" w:color="auto"/>
            </w:tcBorders>
          </w:tcPr>
          <w:p w14:paraId="092877D7"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1F63B7CC" w14:textId="77777777" w:rsidTr="00EC5138">
        <w:trPr>
          <w:trHeight w:val="676"/>
        </w:trPr>
        <w:tc>
          <w:tcPr>
            <w:tcW w:w="9102" w:type="dxa"/>
            <w:gridSpan w:val="3"/>
            <w:tcBorders>
              <w:top w:val="single" w:sz="6" w:space="0" w:color="auto"/>
              <w:left w:val="single" w:sz="6" w:space="0" w:color="auto"/>
              <w:bottom w:val="single" w:sz="6" w:space="0" w:color="auto"/>
              <w:right w:val="single" w:sz="6" w:space="0" w:color="auto"/>
            </w:tcBorders>
            <w:shd w:val="solid" w:color="C0C0C0" w:fill="auto"/>
          </w:tcPr>
          <w:p w14:paraId="003EA510" w14:textId="77777777" w:rsidR="00C94FB4" w:rsidRPr="00082FA3" w:rsidRDefault="00C94FB4">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1.3. Ngritja e kapaciteteve profesionale të nëpunësve civil dhe pjesëtarëve të OShC në hartimin dhe zbatimin e politikave dhe legjislacionit</w:t>
            </w:r>
          </w:p>
        </w:tc>
      </w:tr>
      <w:tr w:rsidR="00C94FB4" w:rsidRPr="00082FA3" w14:paraId="0C479BEF"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4F8ECB73"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1.3.1. Identifikimi i nevojave për trajnime të nëpunësve civil dhe përfaqësuesve të OSHC</w:t>
            </w:r>
          </w:p>
        </w:tc>
        <w:tc>
          <w:tcPr>
            <w:tcW w:w="4515" w:type="dxa"/>
            <w:tcBorders>
              <w:top w:val="single" w:sz="6" w:space="0" w:color="auto"/>
              <w:left w:val="single" w:sz="6" w:space="0" w:color="auto"/>
              <w:bottom w:val="single" w:sz="6" w:space="0" w:color="auto"/>
              <w:right w:val="single" w:sz="6" w:space="0" w:color="auto"/>
            </w:tcBorders>
          </w:tcPr>
          <w:p w14:paraId="341FD96A"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identifikuar nevojat për trajnime të nëpunësve civil dhe përfaqësuesve të OSHC</w:t>
            </w:r>
          </w:p>
        </w:tc>
        <w:tc>
          <w:tcPr>
            <w:tcW w:w="789" w:type="dxa"/>
            <w:tcBorders>
              <w:top w:val="single" w:sz="6" w:space="0" w:color="auto"/>
              <w:left w:val="single" w:sz="6" w:space="0" w:color="auto"/>
              <w:bottom w:val="single" w:sz="6" w:space="0" w:color="auto"/>
              <w:right w:val="single" w:sz="6" w:space="0" w:color="auto"/>
            </w:tcBorders>
          </w:tcPr>
          <w:p w14:paraId="44E47ACB"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42F53590"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3235DFAA"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1.3.2.  Hartimi i programeve për trajnim të vazhdueshëm të nëpunësve civilë dhe OSHC</w:t>
            </w:r>
          </w:p>
        </w:tc>
        <w:tc>
          <w:tcPr>
            <w:tcW w:w="4515" w:type="dxa"/>
            <w:tcBorders>
              <w:top w:val="single" w:sz="6" w:space="0" w:color="auto"/>
              <w:left w:val="single" w:sz="6" w:space="0" w:color="auto"/>
              <w:bottom w:val="single" w:sz="6" w:space="0" w:color="auto"/>
              <w:right w:val="single" w:sz="6" w:space="0" w:color="auto"/>
            </w:tcBorders>
          </w:tcPr>
          <w:p w14:paraId="57D24D4E"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hartuar programet për trajnim të vazhdueshëm të nëpunësve civilë dhe OSHC</w:t>
            </w:r>
          </w:p>
        </w:tc>
        <w:tc>
          <w:tcPr>
            <w:tcW w:w="789" w:type="dxa"/>
            <w:tcBorders>
              <w:top w:val="single" w:sz="6" w:space="0" w:color="auto"/>
              <w:left w:val="single" w:sz="6" w:space="0" w:color="auto"/>
              <w:bottom w:val="single" w:sz="6" w:space="0" w:color="auto"/>
              <w:right w:val="single" w:sz="6" w:space="0" w:color="auto"/>
            </w:tcBorders>
          </w:tcPr>
          <w:p w14:paraId="39EC8D4A"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7129BA08"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54149B72"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1.3.3. Organizimi i trajnimeve për nëpunës civilë dhe përfaqësues të OShC</w:t>
            </w:r>
          </w:p>
        </w:tc>
        <w:tc>
          <w:tcPr>
            <w:tcW w:w="4515" w:type="dxa"/>
            <w:tcBorders>
              <w:top w:val="single" w:sz="6" w:space="0" w:color="auto"/>
              <w:left w:val="single" w:sz="6" w:space="0" w:color="auto"/>
              <w:bottom w:val="single" w:sz="6" w:space="0" w:color="auto"/>
              <w:right w:val="single" w:sz="6" w:space="0" w:color="auto"/>
            </w:tcBorders>
          </w:tcPr>
          <w:p w14:paraId="359C3EDA"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organizuar trajnimet për nëpunës civilë dhe përfaqësues të OShC</w:t>
            </w:r>
          </w:p>
        </w:tc>
        <w:tc>
          <w:tcPr>
            <w:tcW w:w="789" w:type="dxa"/>
            <w:tcBorders>
              <w:top w:val="single" w:sz="6" w:space="0" w:color="auto"/>
              <w:left w:val="single" w:sz="6" w:space="0" w:color="auto"/>
              <w:bottom w:val="single" w:sz="6" w:space="0" w:color="auto"/>
              <w:right w:val="single" w:sz="6" w:space="0" w:color="auto"/>
            </w:tcBorders>
          </w:tcPr>
          <w:p w14:paraId="46241440"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5714EDFA" w14:textId="77777777" w:rsidTr="00EC5138">
        <w:trPr>
          <w:trHeight w:val="676"/>
        </w:trPr>
        <w:tc>
          <w:tcPr>
            <w:tcW w:w="8313" w:type="dxa"/>
            <w:gridSpan w:val="2"/>
            <w:tcBorders>
              <w:top w:val="single" w:sz="6" w:space="0" w:color="auto"/>
              <w:left w:val="single" w:sz="6" w:space="0" w:color="auto"/>
              <w:bottom w:val="single" w:sz="6" w:space="0" w:color="auto"/>
              <w:right w:val="nil"/>
            </w:tcBorders>
            <w:shd w:val="solid" w:color="C0C0C0" w:fill="auto"/>
          </w:tcPr>
          <w:p w14:paraId="68D2BC7D" w14:textId="77777777" w:rsidR="00C94FB4" w:rsidRPr="00082FA3" w:rsidRDefault="00C94FB4">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1.4. Ndërtimi i sistemit të mbikëqyrjes dhe i raportimit për përfshirje të OShC</w:t>
            </w:r>
          </w:p>
        </w:tc>
        <w:tc>
          <w:tcPr>
            <w:tcW w:w="789" w:type="dxa"/>
            <w:tcBorders>
              <w:top w:val="single" w:sz="6" w:space="0" w:color="auto"/>
              <w:left w:val="nil"/>
              <w:bottom w:val="single" w:sz="6" w:space="0" w:color="auto"/>
              <w:right w:val="single" w:sz="6" w:space="0" w:color="auto"/>
            </w:tcBorders>
            <w:shd w:val="solid" w:color="C0C0C0" w:fill="auto"/>
          </w:tcPr>
          <w:p w14:paraId="51196A6E" w14:textId="77777777" w:rsidR="00C94FB4" w:rsidRPr="00082FA3" w:rsidRDefault="00C94FB4">
            <w:pPr>
              <w:autoSpaceDE w:val="0"/>
              <w:autoSpaceDN w:val="0"/>
              <w:adjustRightInd w:val="0"/>
              <w:contextualSpacing w:val="0"/>
              <w:jc w:val="right"/>
              <w:rPr>
                <w:rFonts w:cs="Segoe UI Semilight"/>
                <w:color w:val="000000"/>
                <w:szCs w:val="20"/>
                <w:lang w:val="sq-AL"/>
              </w:rPr>
            </w:pPr>
          </w:p>
        </w:tc>
      </w:tr>
      <w:tr w:rsidR="00C94FB4" w:rsidRPr="00082FA3" w14:paraId="5D44FD48"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58FA7EDD"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1.4.1. Krijimi i mekanizmit për mbikqyrje të zbatimit të standardeve për konsultime publike</w:t>
            </w:r>
          </w:p>
        </w:tc>
        <w:tc>
          <w:tcPr>
            <w:tcW w:w="4515" w:type="dxa"/>
            <w:tcBorders>
              <w:top w:val="single" w:sz="6" w:space="0" w:color="auto"/>
              <w:left w:val="single" w:sz="6" w:space="0" w:color="auto"/>
              <w:bottom w:val="single" w:sz="6" w:space="0" w:color="auto"/>
              <w:right w:val="single" w:sz="6" w:space="0" w:color="auto"/>
            </w:tcBorders>
          </w:tcPr>
          <w:p w14:paraId="1CE1C578"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krijuar mekanizmi për mbikqyrje të zbatimit të standardeve për konsultime publike</w:t>
            </w:r>
          </w:p>
        </w:tc>
        <w:tc>
          <w:tcPr>
            <w:tcW w:w="789" w:type="dxa"/>
            <w:tcBorders>
              <w:top w:val="single" w:sz="6" w:space="0" w:color="auto"/>
              <w:left w:val="single" w:sz="6" w:space="0" w:color="auto"/>
              <w:bottom w:val="single" w:sz="6" w:space="0" w:color="auto"/>
              <w:right w:val="single" w:sz="6" w:space="0" w:color="auto"/>
            </w:tcBorders>
          </w:tcPr>
          <w:p w14:paraId="1C6156A0"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94FB4" w:rsidRPr="00082FA3" w14:paraId="4CEA2882" w14:textId="77777777" w:rsidTr="002C343C">
        <w:trPr>
          <w:trHeight w:val="584"/>
        </w:trPr>
        <w:tc>
          <w:tcPr>
            <w:tcW w:w="3798" w:type="dxa"/>
            <w:tcBorders>
              <w:top w:val="single" w:sz="6" w:space="0" w:color="auto"/>
              <w:left w:val="single" w:sz="6" w:space="0" w:color="auto"/>
              <w:bottom w:val="single" w:sz="6" w:space="0" w:color="auto"/>
              <w:right w:val="single" w:sz="6" w:space="0" w:color="auto"/>
            </w:tcBorders>
          </w:tcPr>
          <w:p w14:paraId="3AB5A619"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1.4.2 Mbikëqyrja dhe raportimi i vazhduesh përfshirjes së OShC-ve</w:t>
            </w:r>
          </w:p>
        </w:tc>
        <w:tc>
          <w:tcPr>
            <w:tcW w:w="4515" w:type="dxa"/>
            <w:tcBorders>
              <w:top w:val="single" w:sz="6" w:space="0" w:color="auto"/>
              <w:left w:val="single" w:sz="6" w:space="0" w:color="auto"/>
              <w:bottom w:val="single" w:sz="6" w:space="0" w:color="auto"/>
              <w:right w:val="single" w:sz="6" w:space="0" w:color="auto"/>
            </w:tcBorders>
          </w:tcPr>
          <w:p w14:paraId="65B1D8FB" w14:textId="77777777" w:rsidR="00C94FB4" w:rsidRPr="00082FA3" w:rsidRDefault="00C94FB4">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Zbatimi i Rregullorës mbikëqyret dhe raportohet në baza të rregullta</w:t>
            </w:r>
          </w:p>
        </w:tc>
        <w:tc>
          <w:tcPr>
            <w:tcW w:w="789" w:type="dxa"/>
            <w:tcBorders>
              <w:top w:val="single" w:sz="6" w:space="0" w:color="auto"/>
              <w:left w:val="single" w:sz="6" w:space="0" w:color="auto"/>
              <w:bottom w:val="single" w:sz="6" w:space="0" w:color="auto"/>
              <w:right w:val="single" w:sz="6" w:space="0" w:color="auto"/>
            </w:tcBorders>
          </w:tcPr>
          <w:p w14:paraId="72DE1575" w14:textId="77777777" w:rsidR="00C94FB4" w:rsidRPr="00082FA3" w:rsidRDefault="00C94FB4">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bl>
    <w:p w14:paraId="4B7F66F0" w14:textId="1B00ADB9" w:rsidR="00AE42C1" w:rsidRDefault="00AE42C1" w:rsidP="00907367">
      <w:pPr>
        <w:rPr>
          <w:rFonts w:cs="Calibri Light"/>
          <w:lang w:val="sq-AL"/>
        </w:rPr>
      </w:pPr>
    </w:p>
    <w:p w14:paraId="42E07999" w14:textId="77777777" w:rsidR="00E23437" w:rsidRPr="00082FA3" w:rsidRDefault="00E23437" w:rsidP="00907367">
      <w:pPr>
        <w:rPr>
          <w:rFonts w:cs="Calibri Light"/>
          <w:lang w:val="sq-AL"/>
        </w:rPr>
      </w:pPr>
    </w:p>
    <w:p w14:paraId="275B8CFA" w14:textId="5B70E6B1" w:rsidR="00E05A4F" w:rsidRPr="00082FA3" w:rsidRDefault="00907367" w:rsidP="007752F1">
      <w:pPr>
        <w:shd w:val="clear" w:color="auto" w:fill="B7FFFF"/>
        <w:rPr>
          <w:rFonts w:cs="Calibri Light"/>
          <w:lang w:val="sq-AL"/>
        </w:rPr>
      </w:pPr>
      <w:r w:rsidRPr="00082FA3">
        <w:rPr>
          <w:rFonts w:cs="Calibri Light"/>
          <w:b/>
          <w:lang w:val="sq-AL"/>
        </w:rPr>
        <w:t xml:space="preserve">2.2.2 </w:t>
      </w:r>
      <w:r w:rsidR="003F58FB" w:rsidRPr="00082FA3">
        <w:rPr>
          <w:rFonts w:cs="Calibri Light"/>
          <w:b/>
          <w:lang w:val="sq-AL"/>
        </w:rPr>
        <w:t xml:space="preserve">Objektivi </w:t>
      </w:r>
      <w:r w:rsidRPr="00082FA3">
        <w:rPr>
          <w:rFonts w:cs="Calibri Light"/>
          <w:b/>
          <w:lang w:val="sq-AL"/>
        </w:rPr>
        <w:t>Strateg</w:t>
      </w:r>
      <w:r w:rsidR="003F58FB" w:rsidRPr="00082FA3">
        <w:rPr>
          <w:rFonts w:cs="Calibri Light"/>
          <w:b/>
          <w:lang w:val="sq-AL"/>
        </w:rPr>
        <w:t>jik</w:t>
      </w:r>
      <w:r w:rsidRPr="00082FA3">
        <w:rPr>
          <w:rFonts w:cs="Calibri Light"/>
          <w:b/>
          <w:lang w:val="sq-AL"/>
        </w:rPr>
        <w:t xml:space="preserve"> 2:</w:t>
      </w:r>
      <w:r w:rsidRPr="00082FA3">
        <w:rPr>
          <w:rFonts w:cs="Calibri Light"/>
          <w:lang w:val="sq-AL"/>
        </w:rPr>
        <w:t xml:space="preserve"> </w:t>
      </w:r>
      <w:r w:rsidR="003F58FB" w:rsidRPr="00082FA3">
        <w:rPr>
          <w:rFonts w:cs="Calibri Light"/>
          <w:lang w:val="sq-AL"/>
        </w:rPr>
        <w:t>Zhvillimi i një sistemi të kontraktimit të shërbimeve publike për organizatat e shoqërisë civile</w:t>
      </w:r>
    </w:p>
    <w:p w14:paraId="025828FB" w14:textId="77777777" w:rsidR="00303927" w:rsidRPr="00082FA3" w:rsidRDefault="00303927" w:rsidP="00907367">
      <w:pPr>
        <w:rPr>
          <w:rFonts w:cs="Calibri Light"/>
          <w:lang w:val="sq-AL"/>
        </w:rPr>
      </w:pPr>
    </w:p>
    <w:p w14:paraId="5E10E1AE" w14:textId="01933568" w:rsidR="003F58FB" w:rsidRPr="00082FA3" w:rsidRDefault="003F58FB" w:rsidP="000D1BE3">
      <w:pPr>
        <w:rPr>
          <w:rFonts w:cs="Calibri Light"/>
          <w:lang w:val="sq-AL"/>
        </w:rPr>
      </w:pPr>
      <w:r w:rsidRPr="00082FA3">
        <w:rPr>
          <w:rFonts w:cs="Calibri Light"/>
          <w:lang w:val="sq-AL"/>
        </w:rPr>
        <w:t xml:space="preserve">Zbatimi i këtij objektivi strategjik ka arritur një shkallë progresi prej </w:t>
      </w:r>
      <w:r w:rsidRPr="00082FA3">
        <w:rPr>
          <w:rFonts w:cs="Calibri Light"/>
          <w:b/>
          <w:lang w:val="sq-AL"/>
        </w:rPr>
        <w:t>50 përqind</w:t>
      </w:r>
      <w:r w:rsidRPr="00082FA3">
        <w:rPr>
          <w:rFonts w:cs="Calibri Light"/>
          <w:lang w:val="sq-AL"/>
        </w:rPr>
        <w:t xml:space="preserve"> duke mundësuar që organizatat e shoqërisë civile të kenë mundësi për të ofruar shërbime publike që kanë të bëjnë me sektorët social, ligjor, arsimor dhe shëndetësor</w:t>
      </w:r>
      <w:r w:rsidRPr="00082FA3">
        <w:rPr>
          <w:rStyle w:val="FootnoteReference"/>
          <w:rFonts w:cs="Calibri Light"/>
          <w:lang w:val="sq-AL"/>
        </w:rPr>
        <w:footnoteReference w:id="17"/>
      </w:r>
      <w:r w:rsidRPr="00082FA3">
        <w:rPr>
          <w:rFonts w:cs="Calibri Light"/>
          <w:lang w:val="sq-AL"/>
        </w:rPr>
        <w:t xml:space="preserve">. Ky objektiv strategjik është shumë më pak i </w:t>
      </w:r>
      <w:r w:rsidRPr="00082FA3">
        <w:rPr>
          <w:rFonts w:cs="Calibri Light"/>
          <w:i/>
          <w:lang w:val="sq-AL"/>
        </w:rPr>
        <w:t>arritshëm</w:t>
      </w:r>
      <w:r w:rsidRPr="00082FA3">
        <w:rPr>
          <w:rFonts w:cs="Calibri Light"/>
          <w:lang w:val="sq-AL"/>
        </w:rPr>
        <w:t xml:space="preserve"> në krahasim me objektivat e tjera, duke pasur parasysh mungesën e progresit të bërë sipas indikatorëve të mëposhtëm.</w:t>
      </w:r>
    </w:p>
    <w:p w14:paraId="5B00A78C" w14:textId="77777777" w:rsidR="003F58FB" w:rsidRPr="00082FA3" w:rsidRDefault="003F58FB" w:rsidP="000D1BE3">
      <w:pPr>
        <w:rPr>
          <w:rFonts w:cs="Calibri Light"/>
          <w:lang w:val="sq-AL"/>
        </w:rPr>
      </w:pPr>
    </w:p>
    <w:p w14:paraId="53D623DD" w14:textId="7998DE18" w:rsidR="007F5001" w:rsidRPr="00082FA3" w:rsidRDefault="005B7D25" w:rsidP="005B7D25">
      <w:pPr>
        <w:pStyle w:val="ListParagraph"/>
        <w:numPr>
          <w:ilvl w:val="0"/>
          <w:numId w:val="10"/>
        </w:numPr>
        <w:rPr>
          <w:lang w:val="sq-AL"/>
        </w:rPr>
      </w:pPr>
      <w:r w:rsidRPr="00082FA3">
        <w:rPr>
          <w:lang w:val="sq-AL"/>
        </w:rPr>
        <w:t xml:space="preserve">Grupi i Përbashkët Punues për Përcaktimin e Standardeve dhe Parimeve për Kontraktimin e Shërbimeve Publike për OShC është themeluar në </w:t>
      </w:r>
      <w:r w:rsidRPr="00082FA3">
        <w:rPr>
          <w:b/>
          <w:lang w:val="sq-AL"/>
        </w:rPr>
        <w:t>maj të vitit 2015</w:t>
      </w:r>
      <w:r w:rsidRPr="00082FA3">
        <w:rPr>
          <w:lang w:val="sq-AL"/>
        </w:rPr>
        <w:t>. Ekipi përbëhet nga 23 anëtarë nga qeveria dhe shoqëria civile. Në përgjithësi, grupi i punës ka qenë jashtëzakonisht joaktiv, me vetëm një takim të organizuar në tetor 2015</w:t>
      </w:r>
      <w:r w:rsidRPr="00082FA3">
        <w:rPr>
          <w:rStyle w:val="FootnoteReference"/>
          <w:rFonts w:cs="Calibri Light"/>
          <w:lang w:val="sq-AL"/>
        </w:rPr>
        <w:footnoteReference w:id="18"/>
      </w:r>
      <w:r w:rsidRPr="00082FA3">
        <w:rPr>
          <w:lang w:val="sq-AL"/>
        </w:rPr>
        <w:t>. Asnjë takim pune nuk është organizuar në vitin 2016 dhe 2017.</w:t>
      </w:r>
      <w:r w:rsidR="002A6F09" w:rsidRPr="00082FA3">
        <w:rPr>
          <w:rStyle w:val="FootnoteReference"/>
          <w:lang w:val="sq-AL"/>
        </w:rPr>
        <w:footnoteReference w:id="19"/>
      </w:r>
      <w:r w:rsidR="00C01B92" w:rsidRPr="00082FA3">
        <w:rPr>
          <w:lang w:val="sq-AL"/>
        </w:rPr>
        <w:t xml:space="preserve"> </w:t>
      </w:r>
      <w:r w:rsidR="002A6F09" w:rsidRPr="00082FA3">
        <w:rPr>
          <w:lang w:val="sq-AL"/>
        </w:rPr>
        <w:t xml:space="preserve"> </w:t>
      </w:r>
    </w:p>
    <w:p w14:paraId="592AB1D2" w14:textId="77777777" w:rsidR="00FB79C4" w:rsidRPr="00082FA3" w:rsidRDefault="00FB79C4" w:rsidP="00FB79C4">
      <w:pPr>
        <w:pStyle w:val="ListParagraph"/>
        <w:rPr>
          <w:lang w:val="sq-AL"/>
        </w:rPr>
      </w:pPr>
    </w:p>
    <w:p w14:paraId="73B962BA" w14:textId="123BE092" w:rsidR="005B7D25" w:rsidRPr="00082FA3" w:rsidRDefault="005B7D25" w:rsidP="005B7D25">
      <w:pPr>
        <w:pStyle w:val="ListParagraph"/>
        <w:numPr>
          <w:ilvl w:val="0"/>
          <w:numId w:val="10"/>
        </w:numPr>
        <w:rPr>
          <w:lang w:val="sq-AL"/>
        </w:rPr>
      </w:pPr>
      <w:r w:rsidRPr="00082FA3">
        <w:rPr>
          <w:lang w:val="sq-AL"/>
        </w:rPr>
        <w:t xml:space="preserve">Është bërë analiza ligjore për përcaktimin e standardeve dhe parimeve për kontraktimin e shërbimeve publike për OSHC-të. Megjithatë, analiza ende nuk është finalizuar sipas kornizës ligjore dhe institucionale për kontraktimin e shoqërisë civile në ofrimin e shërbimeve publike në </w:t>
      </w:r>
      <w:r w:rsidRPr="00082FA3">
        <w:rPr>
          <w:lang w:val="sq-AL"/>
        </w:rPr>
        <w:lastRenderedPageBreak/>
        <w:t>niv</w:t>
      </w:r>
      <w:r w:rsidR="006E197A" w:rsidRPr="00082FA3">
        <w:rPr>
          <w:lang w:val="sq-AL"/>
        </w:rPr>
        <w:t>el lokal dhe kombëtar. Ndërkohë që</w:t>
      </w:r>
      <w:r w:rsidRPr="00082FA3">
        <w:rPr>
          <w:lang w:val="sq-AL"/>
        </w:rPr>
        <w:t xml:space="preserve"> lejimi i certifikatës së OJQ-së për t'u përdorur si një dokument i </w:t>
      </w:r>
      <w:r w:rsidR="006E197A" w:rsidRPr="00082FA3">
        <w:rPr>
          <w:lang w:val="sq-AL"/>
        </w:rPr>
        <w:t>pranueshëm</w:t>
      </w:r>
      <w:r w:rsidRPr="00082FA3">
        <w:rPr>
          <w:lang w:val="sq-AL"/>
        </w:rPr>
        <w:t xml:space="preserve"> në procesin e prokurimit publik është e vetmja arritje në këtë drejtim. Ky avancim ka ndodhur </w:t>
      </w:r>
      <w:r w:rsidR="006E197A" w:rsidRPr="00082FA3">
        <w:rPr>
          <w:lang w:val="sq-AL"/>
        </w:rPr>
        <w:t>pasi</w:t>
      </w:r>
      <w:r w:rsidRPr="00082FA3">
        <w:rPr>
          <w:lang w:val="sq-AL"/>
        </w:rPr>
        <w:t xml:space="preserve"> </w:t>
      </w:r>
      <w:r w:rsidR="006E197A" w:rsidRPr="00082FA3">
        <w:rPr>
          <w:lang w:val="sq-AL"/>
        </w:rPr>
        <w:t xml:space="preserve">është ndryshuar </w:t>
      </w:r>
      <w:r w:rsidRPr="00082FA3">
        <w:rPr>
          <w:lang w:val="sq-AL"/>
        </w:rPr>
        <w:t xml:space="preserve">Ligji për Prokurimin Publik në </w:t>
      </w:r>
      <w:r w:rsidRPr="00082FA3">
        <w:rPr>
          <w:b/>
          <w:lang w:val="sq-AL"/>
        </w:rPr>
        <w:t xml:space="preserve">mars </w:t>
      </w:r>
      <w:r w:rsidR="006E197A" w:rsidRPr="00082FA3">
        <w:rPr>
          <w:b/>
          <w:lang w:val="sq-AL"/>
        </w:rPr>
        <w:t xml:space="preserve">të vitit </w:t>
      </w:r>
      <w:r w:rsidRPr="00082FA3">
        <w:rPr>
          <w:b/>
          <w:lang w:val="sq-AL"/>
        </w:rPr>
        <w:t>2016</w:t>
      </w:r>
      <w:r w:rsidRPr="00082FA3">
        <w:rPr>
          <w:lang w:val="sq-AL"/>
        </w:rPr>
        <w:t>.</w:t>
      </w:r>
      <w:r w:rsidR="006E197A" w:rsidRPr="00082FA3">
        <w:rPr>
          <w:rStyle w:val="FootnoteReference"/>
          <w:rFonts w:cs="Calibri Light"/>
          <w:lang w:val="sq-AL"/>
        </w:rPr>
        <w:t xml:space="preserve"> </w:t>
      </w:r>
      <w:r w:rsidR="006E197A" w:rsidRPr="00082FA3">
        <w:rPr>
          <w:rStyle w:val="FootnoteReference"/>
          <w:rFonts w:cs="Calibri Light"/>
          <w:lang w:val="sq-AL"/>
        </w:rPr>
        <w:footnoteReference w:id="20"/>
      </w:r>
      <w:r w:rsidR="00C94FB4" w:rsidRPr="00082FA3">
        <w:rPr>
          <w:rFonts w:cs="Calibri Light"/>
          <w:lang w:val="sq-AL"/>
        </w:rPr>
        <w:t xml:space="preserve"> Suksesi i arritjes së këtij ndryshimi duhet drejtuar KCSF-së jasht obligimieve apo aktiviteteve të planifikuara sipas Strategjisë. </w:t>
      </w:r>
    </w:p>
    <w:p w14:paraId="2A0D6ADD" w14:textId="3C059996" w:rsidR="005B7D25" w:rsidRPr="00082FA3" w:rsidRDefault="005B7D25" w:rsidP="00C94FB4">
      <w:pPr>
        <w:rPr>
          <w:lang w:val="sq-AL"/>
        </w:rPr>
      </w:pPr>
    </w:p>
    <w:p w14:paraId="5FC9DF06" w14:textId="3C645695" w:rsidR="007A4E46" w:rsidRPr="00082FA3" w:rsidRDefault="007A4E46" w:rsidP="007A4E46">
      <w:pPr>
        <w:pStyle w:val="ListParagraph"/>
        <w:numPr>
          <w:ilvl w:val="0"/>
          <w:numId w:val="10"/>
        </w:numPr>
        <w:rPr>
          <w:lang w:val="sq-AL"/>
        </w:rPr>
      </w:pPr>
      <w:r w:rsidRPr="00082FA3">
        <w:rPr>
          <w:rFonts w:cs="Calibri Light"/>
          <w:lang w:val="sq-AL"/>
        </w:rPr>
        <w:t>Sektorët dhe lloji i shërbimeve për të cilat OSHC-të janë kontraktuar në emër të qeverisë janë pothuajse të identifikuara. Ministria e Punës dhe Mirëqenies Sociale (MPMS) ka përfunduar dhe dorëzuar një raport i cili rendit sektorët dhe llojet e shërbimeve publike për të cilat OSHC-të kontraktohen për të ofruar shërbime në emër të Ministrisë. ZQM është në proces të kryerjes së një analize më të plotë, e cila në fund do të identifikojë sektorët e mbuluar nga të gjitha ministritë / institucionet ku shoqëria civile është e përfshirë në ofrimi</w:t>
      </w:r>
      <w:r w:rsidR="00D96F61" w:rsidRPr="00082FA3">
        <w:rPr>
          <w:rFonts w:cs="Calibri Light"/>
          <w:lang w:val="sq-AL"/>
        </w:rPr>
        <w:t>n e</w:t>
      </w:r>
      <w:r w:rsidRPr="00082FA3">
        <w:rPr>
          <w:rFonts w:cs="Calibri Light"/>
          <w:lang w:val="sq-AL"/>
        </w:rPr>
        <w:t xml:space="preserve"> shërbimeve.</w:t>
      </w:r>
    </w:p>
    <w:p w14:paraId="73C42BF9" w14:textId="77777777" w:rsidR="00C01B92" w:rsidRPr="00082FA3" w:rsidRDefault="00C01B92" w:rsidP="00C01B92">
      <w:pPr>
        <w:pStyle w:val="ListParagraph"/>
        <w:rPr>
          <w:lang w:val="sq-AL"/>
        </w:rPr>
      </w:pPr>
    </w:p>
    <w:p w14:paraId="45FA9B77" w14:textId="3AB67D9B" w:rsidR="004728D3" w:rsidRDefault="004728D3" w:rsidP="00C01B92">
      <w:pPr>
        <w:rPr>
          <w:rFonts w:cs="Calibri Light"/>
          <w:lang w:val="sq-AL"/>
        </w:rPr>
      </w:pPr>
      <w:r w:rsidRPr="00082FA3">
        <w:rPr>
          <w:rFonts w:cs="Calibri Light"/>
          <w:lang w:val="sq-AL"/>
        </w:rPr>
        <w:t>Për dallim nga vlerësimet e matricës së monitorimit, sistemi i vlerësimit me semafor tregon që duhet ndërmarrë veprime të caktuara për të arritur nivelin e progresit të raportuar nga Sekretariati. Siç tregohet në tabelën në vijim, nën-objektivat arrijnë pothuajse nivel zero të progresit. Shumica e aktiviteteve lidhen me zhvillimin dhe zbatimin e një sistemi për kontraktimin e shërbimeve publike nga shoqëria civile në emër të qeverisë.</w:t>
      </w:r>
    </w:p>
    <w:p w14:paraId="05FD7C8D" w14:textId="77777777" w:rsidR="00E23437" w:rsidRPr="00082FA3" w:rsidRDefault="00E23437" w:rsidP="00C01B92">
      <w:pPr>
        <w:rPr>
          <w:rFonts w:cs="Calibri Light"/>
          <w:lang w:val="sq-AL"/>
        </w:rPr>
      </w:pPr>
    </w:p>
    <w:tbl>
      <w:tblPr>
        <w:tblStyle w:val="TableGridLight1"/>
        <w:tblW w:w="9085" w:type="dxa"/>
        <w:tblLook w:val="04A0" w:firstRow="1" w:lastRow="0" w:firstColumn="1" w:lastColumn="0" w:noHBand="0" w:noVBand="1"/>
      </w:tblPr>
      <w:tblGrid>
        <w:gridCol w:w="708"/>
        <w:gridCol w:w="4994"/>
        <w:gridCol w:w="3383"/>
      </w:tblGrid>
      <w:tr w:rsidR="00C01B92" w:rsidRPr="00082FA3" w14:paraId="53364A22" w14:textId="77777777" w:rsidTr="00B958A1">
        <w:trPr>
          <w:trHeight w:val="488"/>
        </w:trPr>
        <w:tc>
          <w:tcPr>
            <w:tcW w:w="708" w:type="dxa"/>
            <w:shd w:val="clear" w:color="auto" w:fill="F2F2F2" w:themeFill="background1" w:themeFillShade="F2"/>
            <w:vAlign w:val="center"/>
          </w:tcPr>
          <w:p w14:paraId="0DB59C24" w14:textId="77777777" w:rsidR="00C01B92" w:rsidRPr="00082FA3" w:rsidRDefault="00C01B92" w:rsidP="00B958A1">
            <w:pPr>
              <w:jc w:val="center"/>
              <w:rPr>
                <w:rFonts w:cs="Calibri Light"/>
                <w:sz w:val="18"/>
                <w:szCs w:val="18"/>
                <w:lang w:val="sq-AL"/>
              </w:rPr>
            </w:pPr>
            <w:r w:rsidRPr="00082FA3">
              <w:rPr>
                <w:rFonts w:cs="Calibri Light"/>
                <w:sz w:val="18"/>
                <w:szCs w:val="18"/>
                <w:lang w:val="sq-AL"/>
              </w:rPr>
              <w:br/>
            </w:r>
          </w:p>
        </w:tc>
        <w:tc>
          <w:tcPr>
            <w:tcW w:w="4994" w:type="dxa"/>
            <w:shd w:val="clear" w:color="auto" w:fill="F2F2F2" w:themeFill="background1" w:themeFillShade="F2"/>
            <w:vAlign w:val="center"/>
          </w:tcPr>
          <w:p w14:paraId="0B33C8D4" w14:textId="46320D5B" w:rsidR="00C01B92" w:rsidRPr="00082FA3" w:rsidRDefault="00C01B92" w:rsidP="00B958A1">
            <w:pPr>
              <w:rPr>
                <w:rFonts w:cs="Calibri Light"/>
                <w:sz w:val="18"/>
                <w:szCs w:val="18"/>
                <w:lang w:val="sq-AL"/>
              </w:rPr>
            </w:pPr>
            <w:r w:rsidRPr="00082FA3">
              <w:rPr>
                <w:rFonts w:cs="Calibri Light"/>
                <w:szCs w:val="20"/>
                <w:lang w:val="sq-AL"/>
              </w:rPr>
              <w:t>Obje</w:t>
            </w:r>
            <w:r w:rsidR="00017184" w:rsidRPr="00082FA3">
              <w:rPr>
                <w:rFonts w:cs="Calibri Light"/>
                <w:szCs w:val="20"/>
                <w:lang w:val="sq-AL"/>
              </w:rPr>
              <w:t>ktivi</w:t>
            </w:r>
            <w:r w:rsidRPr="00082FA3">
              <w:rPr>
                <w:rFonts w:cs="Calibri Light"/>
                <w:szCs w:val="20"/>
                <w:lang w:val="sq-AL"/>
              </w:rPr>
              <w:t xml:space="preserve"> </w:t>
            </w:r>
          </w:p>
        </w:tc>
        <w:tc>
          <w:tcPr>
            <w:tcW w:w="3383" w:type="dxa"/>
            <w:shd w:val="clear" w:color="auto" w:fill="F2F2F2" w:themeFill="background1" w:themeFillShade="F2"/>
            <w:vAlign w:val="center"/>
          </w:tcPr>
          <w:p w14:paraId="5CAC25E3" w14:textId="73E88C84" w:rsidR="00C01B92" w:rsidRPr="00082FA3" w:rsidRDefault="00017184" w:rsidP="00B958A1">
            <w:pPr>
              <w:rPr>
                <w:rFonts w:cs="Calibri Light"/>
                <w:lang w:val="sq-AL"/>
              </w:rPr>
            </w:pPr>
            <w:r w:rsidRPr="00082FA3">
              <w:rPr>
                <w:rFonts w:cs="Calibri Light"/>
                <w:szCs w:val="20"/>
                <w:lang w:val="sq-AL"/>
              </w:rPr>
              <w:t>Veprimi</w:t>
            </w:r>
          </w:p>
        </w:tc>
      </w:tr>
      <w:tr w:rsidR="00C01B92" w:rsidRPr="00082FA3" w14:paraId="00F962EC" w14:textId="77777777" w:rsidTr="00B958A1">
        <w:trPr>
          <w:trHeight w:val="488"/>
        </w:trPr>
        <w:tc>
          <w:tcPr>
            <w:tcW w:w="708" w:type="dxa"/>
            <w:shd w:val="clear" w:color="auto" w:fill="F2F2F2" w:themeFill="background1" w:themeFillShade="F2"/>
          </w:tcPr>
          <w:p w14:paraId="64C6DDEE" w14:textId="77777777" w:rsidR="00C01B92" w:rsidRPr="00082FA3" w:rsidRDefault="00C01B92"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80768" behindDoc="0" locked="0" layoutInCell="1" allowOverlap="1" wp14:anchorId="2A734576" wp14:editId="7993252E">
                      <wp:simplePos x="0" y="0"/>
                      <wp:positionH relativeFrom="column">
                        <wp:posOffset>57150</wp:posOffset>
                      </wp:positionH>
                      <wp:positionV relativeFrom="paragraph">
                        <wp:posOffset>115647</wp:posOffset>
                      </wp:positionV>
                      <wp:extent cx="236220" cy="228600"/>
                      <wp:effectExtent l="0" t="0" r="11430" b="19050"/>
                      <wp:wrapNone/>
                      <wp:docPr id="11" name="Flowchart: Connector 11"/>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DCD8F3" id="Flowchart: Connector 11" o:spid="_x0000_s1026" type="#_x0000_t120" style="position:absolute;margin-left:4.5pt;margin-top:9.1pt;width:18.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" fillcolor="yellow" strokecolor="#7f7f7f [1612]" strokeweight="2pt"/>
                  </w:pict>
                </mc:Fallback>
              </mc:AlternateContent>
            </w:r>
          </w:p>
        </w:tc>
        <w:tc>
          <w:tcPr>
            <w:tcW w:w="4994" w:type="dxa"/>
          </w:tcPr>
          <w:p w14:paraId="3C3CDCA9" w14:textId="39956506" w:rsidR="00C01B92" w:rsidRPr="00082FA3" w:rsidRDefault="00EE783E" w:rsidP="00B958A1">
            <w:pPr>
              <w:rPr>
                <w:rFonts w:cs="Calibri Light"/>
                <w:sz w:val="18"/>
                <w:szCs w:val="18"/>
                <w:lang w:val="sq-AL"/>
              </w:rPr>
            </w:pPr>
            <w:r w:rsidRPr="00082FA3">
              <w:rPr>
                <w:rFonts w:cs="Calibri Light"/>
                <w:sz w:val="18"/>
                <w:szCs w:val="18"/>
                <w:lang w:val="sq-AL"/>
              </w:rPr>
              <w:t>Hartimi i kuadrit ligjor i cili rregullon procedurat e kontraktimit të shërbimeve publike</w:t>
            </w:r>
          </w:p>
        </w:tc>
        <w:tc>
          <w:tcPr>
            <w:tcW w:w="3383" w:type="dxa"/>
          </w:tcPr>
          <w:p w14:paraId="05EA1A23" w14:textId="09F901B7" w:rsidR="00C01B92" w:rsidRPr="00082FA3" w:rsidRDefault="00DD2B3C" w:rsidP="00B958A1">
            <w:pPr>
              <w:rPr>
                <w:rFonts w:cs="Calibri Light"/>
                <w:sz w:val="18"/>
                <w:szCs w:val="18"/>
                <w:lang w:val="sq-AL"/>
              </w:rPr>
            </w:pPr>
            <w:r w:rsidRPr="00082FA3">
              <w:rPr>
                <w:rFonts w:cs="Calibri Light"/>
                <w:sz w:val="18"/>
                <w:szCs w:val="18"/>
                <w:lang w:val="sq-AL"/>
              </w:rPr>
              <w:t>Duhet të finalizohet analiza ligjore dhe të vendosen procedurat për shërbimet kontraktuese</w:t>
            </w:r>
          </w:p>
        </w:tc>
      </w:tr>
      <w:tr w:rsidR="00C01B92" w:rsidRPr="00082FA3" w14:paraId="0AEB3084" w14:textId="77777777" w:rsidTr="00B958A1">
        <w:trPr>
          <w:trHeight w:val="476"/>
        </w:trPr>
        <w:tc>
          <w:tcPr>
            <w:tcW w:w="708" w:type="dxa"/>
            <w:shd w:val="clear" w:color="auto" w:fill="F2F2F2" w:themeFill="background1" w:themeFillShade="F2"/>
          </w:tcPr>
          <w:p w14:paraId="7A549FAB" w14:textId="77777777" w:rsidR="00C01B92" w:rsidRPr="00082FA3" w:rsidRDefault="00C01B92"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81792" behindDoc="0" locked="0" layoutInCell="1" allowOverlap="1" wp14:anchorId="66FB70C3" wp14:editId="160B572B">
                      <wp:simplePos x="0" y="0"/>
                      <wp:positionH relativeFrom="column">
                        <wp:posOffset>54610</wp:posOffset>
                      </wp:positionH>
                      <wp:positionV relativeFrom="paragraph">
                        <wp:posOffset>45085</wp:posOffset>
                      </wp:positionV>
                      <wp:extent cx="236220" cy="228600"/>
                      <wp:effectExtent l="0" t="0" r="11430" b="19050"/>
                      <wp:wrapNone/>
                      <wp:docPr id="12" name="Flowchart: Connector 12"/>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11E5F8" id="Flowchart: Connector 12" o:spid="_x0000_s1026" type="#_x0000_t120" style="position:absolute;margin-left:4.3pt;margin-top:3.55pt;width:18.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" fillcolor="yellow" strokecolor="#7f7f7f [1612]" strokeweight="2pt"/>
                  </w:pict>
                </mc:Fallback>
              </mc:AlternateContent>
            </w:r>
          </w:p>
        </w:tc>
        <w:tc>
          <w:tcPr>
            <w:tcW w:w="4994" w:type="dxa"/>
          </w:tcPr>
          <w:p w14:paraId="1B7E5C35" w14:textId="5D5607A0" w:rsidR="00C01B92" w:rsidRPr="00082FA3" w:rsidRDefault="00DD2B3C" w:rsidP="00B958A1">
            <w:pPr>
              <w:rPr>
                <w:rFonts w:cs="Calibri Light"/>
                <w:sz w:val="18"/>
                <w:szCs w:val="18"/>
                <w:lang w:val="sq-AL"/>
              </w:rPr>
            </w:pPr>
            <w:r w:rsidRPr="00082FA3">
              <w:rPr>
                <w:rFonts w:cs="Calibri Light"/>
                <w:sz w:val="18"/>
                <w:szCs w:val="18"/>
                <w:lang w:val="sq-AL"/>
              </w:rPr>
              <w:t>Vendosja e standardeve dhe parimeve për kontraktimin e shërbimeve publike nga OSHC-të</w:t>
            </w:r>
          </w:p>
        </w:tc>
        <w:tc>
          <w:tcPr>
            <w:tcW w:w="3383" w:type="dxa"/>
          </w:tcPr>
          <w:p w14:paraId="59A430A6" w14:textId="234535A9" w:rsidR="00C01B92" w:rsidRPr="00082FA3" w:rsidRDefault="00DD2B3C" w:rsidP="00B958A1">
            <w:pPr>
              <w:rPr>
                <w:rFonts w:cs="Calibri Light"/>
                <w:sz w:val="18"/>
                <w:szCs w:val="18"/>
                <w:lang w:val="sq-AL"/>
              </w:rPr>
            </w:pPr>
            <w:r w:rsidRPr="00082FA3">
              <w:rPr>
                <w:rFonts w:cs="Calibri Light"/>
                <w:sz w:val="18"/>
                <w:szCs w:val="18"/>
                <w:lang w:val="sq-AL"/>
              </w:rPr>
              <w:t>Duhet të krijohet dhe të zbatohet sistemi i kontraktimit të shërbimeve publike</w:t>
            </w:r>
          </w:p>
        </w:tc>
      </w:tr>
      <w:tr w:rsidR="00C01B92" w:rsidRPr="00082FA3" w14:paraId="2AD3DC03" w14:textId="77777777" w:rsidTr="00B958A1">
        <w:trPr>
          <w:trHeight w:val="488"/>
        </w:trPr>
        <w:tc>
          <w:tcPr>
            <w:tcW w:w="708" w:type="dxa"/>
            <w:shd w:val="clear" w:color="auto" w:fill="F2F2F2" w:themeFill="background1" w:themeFillShade="F2"/>
          </w:tcPr>
          <w:p w14:paraId="7BB0F41E" w14:textId="77777777" w:rsidR="00C01B92" w:rsidRPr="00082FA3" w:rsidRDefault="00C01B92"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82816" behindDoc="0" locked="0" layoutInCell="1" allowOverlap="1" wp14:anchorId="4787F424" wp14:editId="175B3A71">
                      <wp:simplePos x="0" y="0"/>
                      <wp:positionH relativeFrom="column">
                        <wp:posOffset>54610</wp:posOffset>
                      </wp:positionH>
                      <wp:positionV relativeFrom="paragraph">
                        <wp:posOffset>98265</wp:posOffset>
                      </wp:positionV>
                      <wp:extent cx="236220" cy="228600"/>
                      <wp:effectExtent l="0" t="0" r="11430" b="19050"/>
                      <wp:wrapNone/>
                      <wp:docPr id="13" name="Flowchart: Connector 13"/>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95C735" id="Flowchart: Connector 13" o:spid="_x0000_s1026" type="#_x0000_t120" style="position:absolute;margin-left:4.3pt;margin-top:7.75pt;width:18.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" fillcolor="red" strokecolor="#7f7f7f [1612]" strokeweight="2pt"/>
                  </w:pict>
                </mc:Fallback>
              </mc:AlternateContent>
            </w:r>
          </w:p>
        </w:tc>
        <w:tc>
          <w:tcPr>
            <w:tcW w:w="4994" w:type="dxa"/>
          </w:tcPr>
          <w:p w14:paraId="4E921DA1" w14:textId="6E34CFCA" w:rsidR="00C01B92" w:rsidRPr="00082FA3" w:rsidRDefault="00DD2B3C" w:rsidP="00B958A1">
            <w:pPr>
              <w:rPr>
                <w:rFonts w:cs="Calibri Light"/>
                <w:sz w:val="18"/>
                <w:szCs w:val="18"/>
                <w:lang w:val="sq-AL"/>
              </w:rPr>
            </w:pPr>
            <w:r w:rsidRPr="00082FA3">
              <w:rPr>
                <w:rFonts w:cs="Calibri Light"/>
                <w:sz w:val="18"/>
                <w:szCs w:val="18"/>
                <w:lang w:val="sq-AL"/>
              </w:rPr>
              <w:t>Ndërtimi i mekanizmave të përbashkëta të monitorimit të zbatimit për licencimin dhe ofrimin e shërbimeve</w:t>
            </w:r>
          </w:p>
        </w:tc>
        <w:tc>
          <w:tcPr>
            <w:tcW w:w="3383" w:type="dxa"/>
          </w:tcPr>
          <w:p w14:paraId="568797B5" w14:textId="5B8B5A7C" w:rsidR="00C01B92" w:rsidRPr="00082FA3" w:rsidRDefault="00DD2B3C" w:rsidP="00B958A1">
            <w:pPr>
              <w:rPr>
                <w:rFonts w:cs="Calibri Light"/>
                <w:sz w:val="18"/>
                <w:szCs w:val="18"/>
                <w:lang w:val="sq-AL"/>
              </w:rPr>
            </w:pPr>
            <w:r w:rsidRPr="00082FA3">
              <w:rPr>
                <w:rFonts w:cs="Calibri Light"/>
                <w:sz w:val="18"/>
                <w:szCs w:val="18"/>
                <w:lang w:val="sq-AL"/>
              </w:rPr>
              <w:t>Janë krijuar mekanizmat e përbashkët për monitorimin e kontratave të dhëna për OSHC-të</w:t>
            </w:r>
          </w:p>
        </w:tc>
      </w:tr>
    </w:tbl>
    <w:p w14:paraId="1BB6855C" w14:textId="77777777" w:rsidR="00EE0D9F" w:rsidRPr="00082FA3" w:rsidRDefault="00EE0D9F" w:rsidP="00117A35">
      <w:pPr>
        <w:rPr>
          <w:rFonts w:cs="Calibri Light"/>
          <w:b/>
          <w:lang w:val="sq-AL"/>
        </w:rPr>
      </w:pPr>
    </w:p>
    <w:p w14:paraId="1743BBDF" w14:textId="77777777" w:rsidR="009B5A98" w:rsidRDefault="00DD2B3C" w:rsidP="00907367">
      <w:pPr>
        <w:rPr>
          <w:rFonts w:cs="Calibri Light"/>
          <w:lang w:val="sq-AL"/>
        </w:rPr>
      </w:pPr>
      <w:r w:rsidRPr="00082FA3">
        <w:rPr>
          <w:rFonts w:cs="Calibri Light"/>
          <w:b/>
          <w:lang w:val="sq-AL"/>
        </w:rPr>
        <w:t xml:space="preserve">Çfarë nuk është arritur? </w:t>
      </w:r>
      <w:r w:rsidRPr="00082FA3">
        <w:rPr>
          <w:rFonts w:cs="Calibri Light"/>
          <w:lang w:val="sq-AL"/>
        </w:rPr>
        <w:t>Tri nën-objektivat kanë arritur pothuajse zero përparim. Grupi i Punës për Përcaktimin e Standardeve dhe Parimeve për Shërbimet Publike Kontraktuese nuk ka qenë aq proaktiv dhe kërkohet që ZQM t'i japë përparësi përfundimit të analizës për identifikimin e sektorëve dhe llojeve të shërbimeve publike që shoqëria civile mund të mbulojë për qeverinë. Për shkak të mungesës së performancës së grupit të punës dhe vonesave në kryerjen e analizës, nuk është finalizuar dhe publikuar katalogu për renditjen e sektorëve dhe kategorive të shërbimeve pub</w:t>
      </w:r>
      <w:r w:rsidR="00EE0D9F" w:rsidRPr="00082FA3">
        <w:rPr>
          <w:rFonts w:cs="Calibri Light"/>
          <w:lang w:val="sq-AL"/>
        </w:rPr>
        <w:t xml:space="preserve">like të cilat OShC-të mbulojnë. </w:t>
      </w:r>
      <w:r w:rsidRPr="00082FA3">
        <w:rPr>
          <w:lang w:val="sq-AL"/>
        </w:rPr>
        <w:t xml:space="preserve">Përderisa korniza e përgjithshme ligjore për ofrimin e shërbimeve nuk është kufizuese, në praktikë ofrimi i shërbimeve nga OSHC-të është ende </w:t>
      </w:r>
      <w:r w:rsidR="00C96D51" w:rsidRPr="00082FA3">
        <w:rPr>
          <w:lang w:val="sq-AL"/>
        </w:rPr>
        <w:t>i</w:t>
      </w:r>
      <w:r w:rsidRPr="00082FA3">
        <w:rPr>
          <w:lang w:val="sq-AL"/>
        </w:rPr>
        <w:t xml:space="preserve"> kufizuar në disa shërbime sociale dhe nuk ka fonde, procedura dhe standarde të përshtatshme që do të krijonin një mjedis mbështetës për përfshirjen e OShC-ve në ofrimin e shërbimeve</w:t>
      </w:r>
      <w:r w:rsidR="00C96D51" w:rsidRPr="00082FA3">
        <w:rPr>
          <w:lang w:val="sq-AL"/>
        </w:rPr>
        <w:t>.</w:t>
      </w:r>
      <w:r w:rsidR="00C96D51" w:rsidRPr="00082FA3">
        <w:rPr>
          <w:rStyle w:val="FootnoteReference"/>
          <w:lang w:val="sq-AL"/>
        </w:rPr>
        <w:t xml:space="preserve"> </w:t>
      </w:r>
      <w:r w:rsidR="00C96D51" w:rsidRPr="00082FA3">
        <w:rPr>
          <w:rStyle w:val="FootnoteReference"/>
          <w:lang w:val="sq-AL"/>
        </w:rPr>
        <w:footnoteReference w:id="21"/>
      </w:r>
      <w:r w:rsidR="00E23437">
        <w:rPr>
          <w:rFonts w:cs="Calibri Light"/>
          <w:lang w:val="sq-AL"/>
        </w:rPr>
        <w:t xml:space="preserve"> </w:t>
      </w:r>
    </w:p>
    <w:p w14:paraId="4C38D73E" w14:textId="77777777" w:rsidR="009B5A98" w:rsidRDefault="009B5A98" w:rsidP="00907367">
      <w:pPr>
        <w:rPr>
          <w:rFonts w:cs="Calibri Light"/>
          <w:lang w:val="sq-AL"/>
        </w:rPr>
      </w:pPr>
    </w:p>
    <w:p w14:paraId="780B1559" w14:textId="5087A060" w:rsidR="009B5A98" w:rsidRDefault="009B5A98" w:rsidP="009B5A98">
      <w:pPr>
        <w:rPr>
          <w:lang w:val="sq-AL"/>
        </w:rPr>
      </w:pPr>
      <w:r w:rsidRPr="00082FA3">
        <w:rPr>
          <w:lang w:val="sq-AL"/>
        </w:rPr>
        <w:t xml:space="preserve">Teknika për të analizuar problemin apo çështjet e komplikuara të cilat ndërlidhen me njëra tjetrën është zbërthyer në </w:t>
      </w:r>
      <w:r w:rsidRPr="009B5A98">
        <w:rPr>
          <w:i/>
          <w:shd w:val="clear" w:color="auto" w:fill="FFFFFF" w:themeFill="background1"/>
          <w:lang w:val="sq-AL"/>
        </w:rPr>
        <w:t>analizë të rrënjës së shkakut</w:t>
      </w:r>
      <w:r w:rsidRPr="00082FA3">
        <w:rPr>
          <w:i/>
          <w:lang w:val="sq-AL"/>
        </w:rPr>
        <w:t xml:space="preserve"> </w:t>
      </w:r>
      <w:r w:rsidRPr="00082FA3">
        <w:rPr>
          <w:lang w:val="sq-AL"/>
        </w:rPr>
        <w:t xml:space="preserve">të prezantuar si në tabelën në vijim. </w:t>
      </w:r>
    </w:p>
    <w:p w14:paraId="7E20664D" w14:textId="3664F351" w:rsidR="009B5A98" w:rsidRDefault="009B5A98" w:rsidP="009B5A98">
      <w:pPr>
        <w:rPr>
          <w:lang w:val="sq-AL"/>
        </w:rPr>
      </w:pPr>
    </w:p>
    <w:tbl>
      <w:tblPr>
        <w:tblStyle w:val="TableGrid"/>
        <w:tblW w:w="0" w:type="auto"/>
        <w:tblLook w:val="04A0" w:firstRow="1" w:lastRow="0" w:firstColumn="1" w:lastColumn="0" w:noHBand="0" w:noVBand="1"/>
      </w:tblPr>
      <w:tblGrid>
        <w:gridCol w:w="1784"/>
        <w:gridCol w:w="2499"/>
        <w:gridCol w:w="4779"/>
      </w:tblGrid>
      <w:tr w:rsidR="009B5A98" w:rsidRPr="009B5A98" w14:paraId="182EB171" w14:textId="77777777" w:rsidTr="0003605B">
        <w:tc>
          <w:tcPr>
            <w:tcW w:w="1784" w:type="dxa"/>
            <w:vMerge w:val="restart"/>
          </w:tcPr>
          <w:p w14:paraId="16B805F5" w14:textId="77777777" w:rsidR="009B5A98" w:rsidRPr="009B5A98" w:rsidRDefault="009B5A98" w:rsidP="009B5A98">
            <w:pPr>
              <w:rPr>
                <w:b/>
              </w:rPr>
            </w:pPr>
            <w:bookmarkStart w:id="16" w:name="_Hlk500618289"/>
          </w:p>
          <w:p w14:paraId="2CC951CF" w14:textId="77777777" w:rsidR="009B5A98" w:rsidRPr="009B5A98" w:rsidRDefault="009B5A98" w:rsidP="009B5A98">
            <w:pPr>
              <w:rPr>
                <w:b/>
              </w:rPr>
            </w:pPr>
          </w:p>
          <w:p w14:paraId="425448D1" w14:textId="77777777" w:rsidR="009B5A98" w:rsidRPr="009B5A98" w:rsidRDefault="009B5A98" w:rsidP="009B5A98">
            <w:pPr>
              <w:rPr>
                <w:b/>
              </w:rPr>
            </w:pPr>
          </w:p>
          <w:p w14:paraId="367A52DE" w14:textId="77777777" w:rsidR="009B5A98" w:rsidRPr="009B5A98" w:rsidRDefault="009B5A98" w:rsidP="009B5A98">
            <w:pPr>
              <w:rPr>
                <w:b/>
              </w:rPr>
            </w:pPr>
          </w:p>
          <w:p w14:paraId="0DC9D96E" w14:textId="77777777" w:rsidR="009B5A98" w:rsidRPr="009B5A98" w:rsidRDefault="009B5A98" w:rsidP="009B5A98">
            <w:pPr>
              <w:rPr>
                <w:b/>
              </w:rPr>
            </w:pPr>
          </w:p>
          <w:p w14:paraId="13A70F14" w14:textId="77777777" w:rsidR="009B5A98" w:rsidRPr="009B5A98" w:rsidRDefault="009B5A98" w:rsidP="009B5A98">
            <w:pPr>
              <w:rPr>
                <w:b/>
              </w:rPr>
            </w:pPr>
          </w:p>
          <w:p w14:paraId="0AFA3C00" w14:textId="77777777" w:rsidR="009B5A98" w:rsidRPr="009B5A98" w:rsidRDefault="009B5A98" w:rsidP="009B5A98">
            <w:pPr>
              <w:rPr>
                <w:b/>
              </w:rPr>
            </w:pPr>
          </w:p>
          <w:p w14:paraId="3CDC7549" w14:textId="77777777" w:rsidR="009B5A98" w:rsidRPr="009B5A98" w:rsidRDefault="009B5A98" w:rsidP="009B5A98">
            <w:pPr>
              <w:rPr>
                <w:b/>
              </w:rPr>
            </w:pPr>
          </w:p>
          <w:p w14:paraId="708C4E94" w14:textId="77777777" w:rsidR="009B5A98" w:rsidRPr="009B5A98" w:rsidRDefault="009B5A98" w:rsidP="009B5A98">
            <w:pPr>
              <w:rPr>
                <w:b/>
              </w:rPr>
            </w:pPr>
          </w:p>
          <w:p w14:paraId="51AF7488" w14:textId="77777777" w:rsidR="009B5A98" w:rsidRPr="009B5A98" w:rsidRDefault="009B5A98" w:rsidP="009B5A98">
            <w:pPr>
              <w:rPr>
                <w:b/>
              </w:rPr>
            </w:pPr>
          </w:p>
          <w:p w14:paraId="53166D7B" w14:textId="77777777" w:rsidR="009B5A98" w:rsidRPr="009B5A98" w:rsidRDefault="009B5A98" w:rsidP="009B5A98">
            <w:pPr>
              <w:rPr>
                <w:b/>
              </w:rPr>
            </w:pPr>
          </w:p>
          <w:p w14:paraId="1E72ECFD" w14:textId="77777777" w:rsidR="009B5A98" w:rsidRPr="009B5A98" w:rsidRDefault="009B5A98" w:rsidP="009B5A98">
            <w:pPr>
              <w:rPr>
                <w:b/>
              </w:rPr>
            </w:pPr>
          </w:p>
          <w:p w14:paraId="39FA6F91" w14:textId="77777777" w:rsidR="009B5A98" w:rsidRPr="009B5A98" w:rsidRDefault="009B5A98" w:rsidP="009B5A98">
            <w:pPr>
              <w:rPr>
                <w:b/>
              </w:rPr>
            </w:pPr>
          </w:p>
          <w:p w14:paraId="5796D65B" w14:textId="77777777" w:rsidR="009B5A98" w:rsidRPr="009B5A98" w:rsidRDefault="009B5A98" w:rsidP="009B5A98">
            <w:pPr>
              <w:rPr>
                <w:b/>
              </w:rPr>
            </w:pPr>
          </w:p>
          <w:p w14:paraId="50AA423D" w14:textId="77777777" w:rsidR="009B5A98" w:rsidRPr="009B5A98" w:rsidRDefault="009B5A98" w:rsidP="009B5A98">
            <w:pPr>
              <w:rPr>
                <w:b/>
              </w:rPr>
            </w:pPr>
          </w:p>
          <w:p w14:paraId="2EBC0E8E" w14:textId="77777777" w:rsidR="009B5A98" w:rsidRPr="009B5A98" w:rsidRDefault="009B5A98" w:rsidP="009B5A98">
            <w:pPr>
              <w:rPr>
                <w:b/>
              </w:rPr>
            </w:pPr>
          </w:p>
          <w:p w14:paraId="7F8722BE" w14:textId="77777777" w:rsidR="009B5A98" w:rsidRPr="009B5A98" w:rsidRDefault="009B5A98" w:rsidP="009B5A98">
            <w:pPr>
              <w:rPr>
                <w:b/>
              </w:rPr>
            </w:pPr>
          </w:p>
          <w:p w14:paraId="7E4CC5F6" w14:textId="77777777" w:rsidR="009B5A98" w:rsidRPr="009B5A98" w:rsidRDefault="009B5A98" w:rsidP="009B5A98">
            <w:pPr>
              <w:rPr>
                <w:b/>
              </w:rPr>
            </w:pPr>
          </w:p>
          <w:p w14:paraId="625360C8" w14:textId="77777777" w:rsidR="009B5A98" w:rsidRPr="009B5A98" w:rsidRDefault="009B5A98" w:rsidP="009B5A98">
            <w:pPr>
              <w:rPr>
                <w:b/>
              </w:rPr>
            </w:pPr>
          </w:p>
          <w:p w14:paraId="33B4C095" w14:textId="77777777" w:rsidR="009B5A98" w:rsidRPr="009B5A98" w:rsidRDefault="009B5A98" w:rsidP="009B5A98">
            <w:pPr>
              <w:rPr>
                <w:b/>
              </w:rPr>
            </w:pPr>
          </w:p>
          <w:p w14:paraId="384CEB7F" w14:textId="78C9F04A" w:rsidR="009B5A98" w:rsidRPr="009B5A98" w:rsidRDefault="009B5A98" w:rsidP="009B5A98">
            <w:pPr>
              <w:rPr>
                <w:b/>
              </w:rPr>
            </w:pPr>
            <w:r>
              <w:rPr>
                <w:b/>
              </w:rPr>
              <w:t>Problemi kryesor</w:t>
            </w:r>
          </w:p>
          <w:p w14:paraId="05A04229" w14:textId="77777777" w:rsidR="009B5A98" w:rsidRPr="009B5A98" w:rsidRDefault="009B5A98" w:rsidP="009B5A98">
            <w:pPr>
              <w:jc w:val="left"/>
            </w:pPr>
            <w:r w:rsidRPr="009B5A98">
              <w:t>Praktika e pazhvilluar dhe jo transparente për kontraktimin e shërbimeve publike nga OSHC-të</w:t>
            </w:r>
          </w:p>
          <w:p w14:paraId="02DFD634" w14:textId="77777777" w:rsidR="009B5A98" w:rsidRPr="009B5A98" w:rsidRDefault="009B5A98" w:rsidP="009B5A98"/>
        </w:tc>
        <w:tc>
          <w:tcPr>
            <w:tcW w:w="2499" w:type="dxa"/>
            <w:vMerge w:val="restart"/>
          </w:tcPr>
          <w:p w14:paraId="60294AC0" w14:textId="5A71EE4C" w:rsidR="009B5A98" w:rsidRPr="009B5A98" w:rsidRDefault="009B5A98" w:rsidP="009B5A98">
            <w:pPr>
              <w:rPr>
                <w:b/>
              </w:rPr>
            </w:pPr>
            <w:r w:rsidRPr="009B5A98">
              <w:rPr>
                <w:b/>
              </w:rPr>
              <w:lastRenderedPageBreak/>
              <w:t>1. Shkaku i drejtpërdrejtë</w:t>
            </w:r>
          </w:p>
          <w:p w14:paraId="688661FA" w14:textId="77777777" w:rsidR="009B5A98" w:rsidRPr="009B5A98" w:rsidRDefault="009B5A98" w:rsidP="009B5A98">
            <w:pPr>
              <w:jc w:val="left"/>
            </w:pPr>
            <w:r w:rsidRPr="009B5A98">
              <w:t xml:space="preserve">Mungesa e ndërgjegjësimit të ministrive dhe komunave rreth rëndësisë, kornizës </w:t>
            </w:r>
            <w:r w:rsidRPr="009B5A98">
              <w:lastRenderedPageBreak/>
              <w:t>ligjore dhe modeleve në dispozicion për kontraktimin OSHC-ve lidhur me ofrimin e shërbimeve publike.</w:t>
            </w:r>
          </w:p>
          <w:p w14:paraId="5CB7DAB0" w14:textId="77777777" w:rsidR="009B5A98" w:rsidRPr="009B5A98" w:rsidRDefault="009B5A98" w:rsidP="009B5A98"/>
        </w:tc>
        <w:tc>
          <w:tcPr>
            <w:tcW w:w="4779" w:type="dxa"/>
          </w:tcPr>
          <w:p w14:paraId="144D78AB" w14:textId="4831E54B" w:rsidR="009B5A98" w:rsidRPr="009B5A98" w:rsidRDefault="009B5A98" w:rsidP="009B5A98">
            <w:pPr>
              <w:rPr>
                <w:b/>
              </w:rPr>
            </w:pPr>
            <w:r w:rsidRPr="009B5A98">
              <w:rPr>
                <w:b/>
              </w:rPr>
              <w:lastRenderedPageBreak/>
              <w:t xml:space="preserve">1.1 </w:t>
            </w:r>
            <w:r>
              <w:rPr>
                <w:b/>
              </w:rPr>
              <w:t>Rrënja e shkakut</w:t>
            </w:r>
            <w:r w:rsidRPr="009B5A98">
              <w:rPr>
                <w:b/>
              </w:rPr>
              <w:t xml:space="preserve">  </w:t>
            </w:r>
          </w:p>
          <w:p w14:paraId="3ED231DB" w14:textId="77777777" w:rsidR="009B5A98" w:rsidRPr="009B5A98" w:rsidRDefault="009B5A98" w:rsidP="009B5A98">
            <w:pPr>
              <w:jc w:val="left"/>
            </w:pPr>
            <w:r w:rsidRPr="009B5A98">
              <w:t>Shteti nuk ka bërë definimin e përgjegjësive të institucioneve/Ministrive të cilat duhet të merren me koordinim e procesit të kontraktimit të OSHC-ve për ofrim të shërbimeve publike.</w:t>
            </w:r>
          </w:p>
          <w:p w14:paraId="52F83C50" w14:textId="77777777" w:rsidR="009B5A98" w:rsidRPr="009B5A98" w:rsidRDefault="009B5A98" w:rsidP="009B5A98"/>
        </w:tc>
      </w:tr>
      <w:tr w:rsidR="009B5A98" w:rsidRPr="009B5A98" w14:paraId="68793EC4" w14:textId="77777777" w:rsidTr="0003605B">
        <w:tc>
          <w:tcPr>
            <w:tcW w:w="1784" w:type="dxa"/>
            <w:vMerge/>
          </w:tcPr>
          <w:p w14:paraId="5259F080" w14:textId="77777777" w:rsidR="009B5A98" w:rsidRPr="009B5A98" w:rsidRDefault="009B5A98" w:rsidP="009B5A98"/>
        </w:tc>
        <w:tc>
          <w:tcPr>
            <w:tcW w:w="2499" w:type="dxa"/>
            <w:vMerge/>
          </w:tcPr>
          <w:p w14:paraId="5F6C3E08" w14:textId="77777777" w:rsidR="009B5A98" w:rsidRPr="009B5A98" w:rsidRDefault="009B5A98" w:rsidP="009B5A98"/>
        </w:tc>
        <w:tc>
          <w:tcPr>
            <w:tcW w:w="4779" w:type="dxa"/>
          </w:tcPr>
          <w:p w14:paraId="5694A973" w14:textId="665E66D3" w:rsidR="009B5A98" w:rsidRPr="009B5A98" w:rsidRDefault="009B5A98" w:rsidP="009B5A98">
            <w:pPr>
              <w:rPr>
                <w:b/>
              </w:rPr>
            </w:pPr>
            <w:r w:rsidRPr="009B5A98">
              <w:rPr>
                <w:b/>
              </w:rPr>
              <w:t xml:space="preserve">1.2 </w:t>
            </w:r>
            <w:r>
              <w:rPr>
                <w:b/>
              </w:rPr>
              <w:t>Rrënja e shkakut</w:t>
            </w:r>
            <w:r w:rsidRPr="009B5A98">
              <w:rPr>
                <w:b/>
              </w:rPr>
              <w:t xml:space="preserve"> </w:t>
            </w:r>
          </w:p>
          <w:p w14:paraId="53109526" w14:textId="77777777" w:rsidR="009B5A98" w:rsidRPr="009B5A98" w:rsidRDefault="009B5A98" w:rsidP="009B5A98">
            <w:pPr>
              <w:jc w:val="left"/>
            </w:pPr>
            <w:r w:rsidRPr="009B5A98">
              <w:t>Qeveria/Ministritë nuk kanë organizuar aktivitete koordinuese në mes institucioneve për mundësitë e bashkëpunimit dhe përfitimet që mund të dalin nga ky bashkëpunim në fushën e ofrimit të shërbimeve publike.</w:t>
            </w:r>
          </w:p>
          <w:p w14:paraId="3DAB1CB6" w14:textId="77777777" w:rsidR="009B5A98" w:rsidRPr="009B5A98" w:rsidRDefault="009B5A98" w:rsidP="009B5A98"/>
        </w:tc>
      </w:tr>
      <w:tr w:rsidR="009B5A98" w:rsidRPr="009B5A98" w14:paraId="016A47DD" w14:textId="77777777" w:rsidTr="0003605B">
        <w:tc>
          <w:tcPr>
            <w:tcW w:w="1784" w:type="dxa"/>
            <w:vMerge/>
          </w:tcPr>
          <w:p w14:paraId="0E69DE71" w14:textId="77777777" w:rsidR="009B5A98" w:rsidRPr="009B5A98" w:rsidRDefault="009B5A98" w:rsidP="009B5A98"/>
        </w:tc>
        <w:tc>
          <w:tcPr>
            <w:tcW w:w="2499" w:type="dxa"/>
            <w:vMerge/>
          </w:tcPr>
          <w:p w14:paraId="0E87447C" w14:textId="77777777" w:rsidR="009B5A98" w:rsidRPr="009B5A98" w:rsidRDefault="009B5A98" w:rsidP="009B5A98"/>
        </w:tc>
        <w:tc>
          <w:tcPr>
            <w:tcW w:w="4779" w:type="dxa"/>
          </w:tcPr>
          <w:p w14:paraId="765AFBB2" w14:textId="45010234" w:rsidR="009B5A98" w:rsidRPr="009B5A98" w:rsidRDefault="009B5A98" w:rsidP="009B5A98">
            <w:pPr>
              <w:rPr>
                <w:b/>
              </w:rPr>
            </w:pPr>
            <w:r w:rsidRPr="009B5A98">
              <w:rPr>
                <w:b/>
              </w:rPr>
              <w:t xml:space="preserve">1.3 </w:t>
            </w:r>
            <w:r>
              <w:rPr>
                <w:b/>
              </w:rPr>
              <w:t>Rrënja e shkakut</w:t>
            </w:r>
            <w:r w:rsidRPr="009B5A98">
              <w:rPr>
                <w:b/>
              </w:rPr>
              <w:t xml:space="preserve">  </w:t>
            </w:r>
          </w:p>
          <w:p w14:paraId="31C6706C" w14:textId="77777777" w:rsidR="009B5A98" w:rsidRPr="009B5A98" w:rsidRDefault="009B5A98" w:rsidP="009B5A98">
            <w:pPr>
              <w:jc w:val="left"/>
            </w:pPr>
            <w:r w:rsidRPr="009B5A98">
              <w:t>Shteti nuk ka përgatit dhe zbatuar programe të trajnimit dhe aktiviteteve për ndërgjegjësimin e zyrtarëve në ministri dhe komuna në fushën e kontraktimit të OSHC-ve për ofrimin e shërbimeve publike.</w:t>
            </w:r>
          </w:p>
          <w:p w14:paraId="38A7335D" w14:textId="77777777" w:rsidR="009B5A98" w:rsidRPr="009B5A98" w:rsidRDefault="009B5A98" w:rsidP="009B5A98">
            <w:pPr>
              <w:rPr>
                <w:b/>
              </w:rPr>
            </w:pPr>
          </w:p>
        </w:tc>
      </w:tr>
      <w:tr w:rsidR="009B5A98" w:rsidRPr="009B5A98" w14:paraId="6CC7230A" w14:textId="77777777" w:rsidTr="0003605B">
        <w:tc>
          <w:tcPr>
            <w:tcW w:w="1784" w:type="dxa"/>
            <w:vMerge/>
          </w:tcPr>
          <w:p w14:paraId="65538AED" w14:textId="77777777" w:rsidR="009B5A98" w:rsidRPr="009B5A98" w:rsidRDefault="009B5A98" w:rsidP="009B5A98"/>
        </w:tc>
        <w:tc>
          <w:tcPr>
            <w:tcW w:w="2499" w:type="dxa"/>
            <w:vMerge w:val="restart"/>
          </w:tcPr>
          <w:p w14:paraId="5105954B" w14:textId="2C0DF655" w:rsidR="009B5A98" w:rsidRPr="009B5A98" w:rsidRDefault="009B5A98" w:rsidP="009B5A98">
            <w:pPr>
              <w:rPr>
                <w:b/>
              </w:rPr>
            </w:pPr>
            <w:r w:rsidRPr="009B5A98">
              <w:rPr>
                <w:b/>
              </w:rPr>
              <w:t>2.</w:t>
            </w:r>
            <w:r>
              <w:t xml:space="preserve"> </w:t>
            </w:r>
            <w:r w:rsidRPr="009B5A98">
              <w:rPr>
                <w:b/>
              </w:rPr>
              <w:t>Shkaku i drejtpërdrejtë</w:t>
            </w:r>
          </w:p>
          <w:p w14:paraId="57431D5B" w14:textId="77777777" w:rsidR="009B5A98" w:rsidRPr="00C15F02" w:rsidRDefault="009B5A98" w:rsidP="00C15F02">
            <w:pPr>
              <w:jc w:val="left"/>
            </w:pPr>
            <w:r w:rsidRPr="00C15F02">
              <w:t>Mungesa e vlerësimit të nevojave për ofrimin e shërbimeve publike nga OSHC-të në fusha të ndryshme.</w:t>
            </w:r>
          </w:p>
          <w:p w14:paraId="6CC5DF5C" w14:textId="77777777" w:rsidR="009B5A98" w:rsidRPr="009B5A98" w:rsidRDefault="009B5A98" w:rsidP="009B5A98"/>
        </w:tc>
        <w:tc>
          <w:tcPr>
            <w:tcW w:w="4779" w:type="dxa"/>
          </w:tcPr>
          <w:p w14:paraId="7E16CE58" w14:textId="6EE87F36" w:rsidR="009B5A98" w:rsidRPr="009B5A98" w:rsidRDefault="009B5A98" w:rsidP="009B5A98">
            <w:pPr>
              <w:rPr>
                <w:b/>
              </w:rPr>
            </w:pPr>
            <w:r w:rsidRPr="009B5A98">
              <w:rPr>
                <w:b/>
              </w:rPr>
              <w:t xml:space="preserve">2.1 </w:t>
            </w:r>
            <w:r>
              <w:rPr>
                <w:b/>
              </w:rPr>
              <w:t>Rrënja e shkakut</w:t>
            </w:r>
            <w:r w:rsidRPr="009B5A98">
              <w:rPr>
                <w:b/>
              </w:rPr>
              <w:t xml:space="preserve">  </w:t>
            </w:r>
          </w:p>
          <w:p w14:paraId="5E8699CC" w14:textId="4E69E6C6" w:rsidR="009B5A98" w:rsidRPr="009B5A98" w:rsidRDefault="00C15F02" w:rsidP="00C15F02">
            <w:pPr>
              <w:jc w:val="left"/>
            </w:pPr>
            <w:r w:rsidRPr="00C15F02">
              <w:t>Ministritë dhe komunat nuk kanë burime njerëzore të mjaftueshme për kryerjen e vlerësimit të nevojave si bazë për programimin e prioriteteve për kontraktimin e shërbimeve publike.</w:t>
            </w:r>
          </w:p>
        </w:tc>
      </w:tr>
      <w:tr w:rsidR="009B5A98" w:rsidRPr="009B5A98" w14:paraId="66CBCD7E" w14:textId="77777777" w:rsidTr="0003605B">
        <w:tc>
          <w:tcPr>
            <w:tcW w:w="1784" w:type="dxa"/>
            <w:vMerge/>
          </w:tcPr>
          <w:p w14:paraId="2E98211B" w14:textId="77777777" w:rsidR="009B5A98" w:rsidRPr="009B5A98" w:rsidRDefault="009B5A98" w:rsidP="009B5A98"/>
        </w:tc>
        <w:tc>
          <w:tcPr>
            <w:tcW w:w="2499" w:type="dxa"/>
            <w:vMerge/>
          </w:tcPr>
          <w:p w14:paraId="1D3AE6FF" w14:textId="77777777" w:rsidR="009B5A98" w:rsidRPr="009B5A98" w:rsidRDefault="009B5A98" w:rsidP="009B5A98"/>
        </w:tc>
        <w:tc>
          <w:tcPr>
            <w:tcW w:w="4779" w:type="dxa"/>
          </w:tcPr>
          <w:p w14:paraId="77BC8479" w14:textId="0D15CCE8" w:rsidR="009B5A98" w:rsidRPr="009B5A98" w:rsidRDefault="009B5A98" w:rsidP="009B5A98">
            <w:pPr>
              <w:rPr>
                <w:b/>
              </w:rPr>
            </w:pPr>
            <w:r w:rsidRPr="009B5A98">
              <w:rPr>
                <w:b/>
              </w:rPr>
              <w:t xml:space="preserve">2.2 </w:t>
            </w:r>
            <w:r>
              <w:rPr>
                <w:b/>
              </w:rPr>
              <w:t>Rrënja e shkakut</w:t>
            </w:r>
            <w:r w:rsidRPr="009B5A98">
              <w:rPr>
                <w:b/>
              </w:rPr>
              <w:t xml:space="preserve"> </w:t>
            </w:r>
          </w:p>
          <w:p w14:paraId="4712022C" w14:textId="77777777" w:rsidR="00C15F02" w:rsidRPr="00C15F02" w:rsidRDefault="00C15F02" w:rsidP="00C15F02">
            <w:pPr>
              <w:jc w:val="left"/>
            </w:pPr>
            <w:r w:rsidRPr="00C15F02">
              <w:t>Shteti ka mungesë të dhënave për OSHC-të si ofrues të shërbimeve publike në fusha të ndryshme.</w:t>
            </w:r>
          </w:p>
          <w:p w14:paraId="3F8184AE" w14:textId="77777777" w:rsidR="009B5A98" w:rsidRPr="009B5A98" w:rsidRDefault="009B5A98" w:rsidP="009B5A98"/>
        </w:tc>
      </w:tr>
      <w:tr w:rsidR="009B5A98" w:rsidRPr="009B5A98" w14:paraId="13F4FC5F" w14:textId="77777777" w:rsidTr="0003605B">
        <w:tc>
          <w:tcPr>
            <w:tcW w:w="1784" w:type="dxa"/>
            <w:vMerge/>
          </w:tcPr>
          <w:p w14:paraId="33974326" w14:textId="77777777" w:rsidR="009B5A98" w:rsidRPr="009B5A98" w:rsidRDefault="009B5A98" w:rsidP="009B5A98"/>
        </w:tc>
        <w:tc>
          <w:tcPr>
            <w:tcW w:w="2499" w:type="dxa"/>
          </w:tcPr>
          <w:p w14:paraId="4CF7E39E" w14:textId="4564F4D4" w:rsidR="009B5A98" w:rsidRPr="00C15F02" w:rsidRDefault="009B5A98" w:rsidP="00C15F02">
            <w:pPr>
              <w:jc w:val="left"/>
              <w:rPr>
                <w:b/>
              </w:rPr>
            </w:pPr>
            <w:r w:rsidRPr="00C15F02">
              <w:rPr>
                <w:b/>
              </w:rPr>
              <w:t>3. Shkaku i drejtpërdrejtë</w:t>
            </w:r>
          </w:p>
          <w:p w14:paraId="3277B201" w14:textId="2BAB70AB" w:rsidR="009B5A98" w:rsidRPr="009B5A98" w:rsidRDefault="009B5A98" w:rsidP="00C15F02">
            <w:pPr>
              <w:jc w:val="left"/>
            </w:pPr>
            <w:r w:rsidRPr="00C15F02">
              <w:t>Mungesa e të dhënave kombëtare mbi OSHC-të si ofrues të shërbimeve publike në fusha të ndryshme.</w:t>
            </w:r>
          </w:p>
        </w:tc>
        <w:tc>
          <w:tcPr>
            <w:tcW w:w="4779" w:type="dxa"/>
          </w:tcPr>
          <w:p w14:paraId="34F4A376" w14:textId="19246724" w:rsidR="009B5A98" w:rsidRPr="009B5A98" w:rsidRDefault="009B5A98" w:rsidP="009B5A98">
            <w:pPr>
              <w:rPr>
                <w:b/>
              </w:rPr>
            </w:pPr>
            <w:r w:rsidRPr="009B5A98">
              <w:rPr>
                <w:b/>
              </w:rPr>
              <w:t xml:space="preserve">3.1 </w:t>
            </w:r>
            <w:r>
              <w:rPr>
                <w:b/>
              </w:rPr>
              <w:t>Rrënja e shkakut</w:t>
            </w:r>
          </w:p>
          <w:p w14:paraId="47A1598B" w14:textId="1A78E422" w:rsidR="009B5A98" w:rsidRPr="009B5A98" w:rsidRDefault="00C15F02" w:rsidP="00C15F02">
            <w:pPr>
              <w:jc w:val="left"/>
            </w:pPr>
            <w:r w:rsidRPr="00C15F02">
              <w:t>Shteti nuk ka burime njerëzore dhe financiare për zhvillimin e një sistemi për monitorimin e OSHC-ve si ofrues të shërbimeve publike</w:t>
            </w:r>
            <w:r w:rsidRPr="009B5A98">
              <w:t xml:space="preserve"> </w:t>
            </w:r>
          </w:p>
        </w:tc>
      </w:tr>
      <w:tr w:rsidR="009B5A98" w:rsidRPr="009B5A98" w14:paraId="6855193E" w14:textId="77777777" w:rsidTr="0003605B">
        <w:trPr>
          <w:trHeight w:val="1453"/>
        </w:trPr>
        <w:tc>
          <w:tcPr>
            <w:tcW w:w="1784" w:type="dxa"/>
            <w:vMerge/>
          </w:tcPr>
          <w:p w14:paraId="388277F1" w14:textId="77777777" w:rsidR="009B5A98" w:rsidRPr="009B5A98" w:rsidRDefault="009B5A98" w:rsidP="009B5A98"/>
        </w:tc>
        <w:tc>
          <w:tcPr>
            <w:tcW w:w="2499" w:type="dxa"/>
          </w:tcPr>
          <w:p w14:paraId="00403192" w14:textId="542D1133" w:rsidR="009B5A98" w:rsidRPr="00C15F02" w:rsidRDefault="009B5A98" w:rsidP="00C15F02">
            <w:pPr>
              <w:jc w:val="left"/>
              <w:rPr>
                <w:b/>
              </w:rPr>
            </w:pPr>
            <w:r w:rsidRPr="00C15F02">
              <w:rPr>
                <w:b/>
              </w:rPr>
              <w:t>4. Shkaku i drejtpërdrejtë</w:t>
            </w:r>
          </w:p>
          <w:p w14:paraId="788D54E1" w14:textId="77777777" w:rsidR="009B5A98" w:rsidRPr="00C15F02" w:rsidRDefault="009B5A98" w:rsidP="00C15F02">
            <w:pPr>
              <w:jc w:val="left"/>
            </w:pPr>
            <w:r w:rsidRPr="00C15F02">
              <w:t>Mungesa e standardeve dhe procedurave për ofrim të shërbimeve publike nga OSHC-të.</w:t>
            </w:r>
          </w:p>
          <w:p w14:paraId="3D056498" w14:textId="77777777" w:rsidR="009B5A98" w:rsidRPr="009B5A98" w:rsidRDefault="009B5A98" w:rsidP="00C15F02">
            <w:pPr>
              <w:jc w:val="left"/>
            </w:pPr>
          </w:p>
        </w:tc>
        <w:tc>
          <w:tcPr>
            <w:tcW w:w="4779" w:type="dxa"/>
          </w:tcPr>
          <w:p w14:paraId="12F0F3B6" w14:textId="1AAD64AD" w:rsidR="009B5A98" w:rsidRPr="009B5A98" w:rsidRDefault="009B5A98" w:rsidP="009B5A98">
            <w:pPr>
              <w:rPr>
                <w:b/>
              </w:rPr>
            </w:pPr>
            <w:r w:rsidRPr="009B5A98">
              <w:rPr>
                <w:b/>
              </w:rPr>
              <w:t xml:space="preserve">4.1 </w:t>
            </w:r>
            <w:r>
              <w:rPr>
                <w:b/>
              </w:rPr>
              <w:t>Rrënja e shkakut</w:t>
            </w:r>
          </w:p>
          <w:p w14:paraId="7A2E969E" w14:textId="0E4A2D6C" w:rsidR="009B5A98" w:rsidRPr="009B5A98" w:rsidRDefault="00C15F02" w:rsidP="00C15F02">
            <w:pPr>
              <w:jc w:val="left"/>
            </w:pPr>
            <w:r w:rsidRPr="00C15F02">
              <w:t>Shteti nuk ka burime njerëzore dhe financiare për hartimin dhe zbatimin e standardeve dhe procedurave për ofrim të shërbimeve publike nga OSHC-të.</w:t>
            </w:r>
          </w:p>
        </w:tc>
      </w:tr>
      <w:bookmarkEnd w:id="16"/>
    </w:tbl>
    <w:p w14:paraId="59D73CB2" w14:textId="77777777" w:rsidR="009B5A98" w:rsidRPr="009B5A98" w:rsidRDefault="009B5A98" w:rsidP="009B5A98"/>
    <w:p w14:paraId="5C3F00C0" w14:textId="77777777" w:rsidR="009B5A98" w:rsidRDefault="009B5A98" w:rsidP="009B5A98">
      <w:pPr>
        <w:rPr>
          <w:lang w:val="sq-AL"/>
        </w:rPr>
      </w:pPr>
    </w:p>
    <w:p w14:paraId="2E14226F" w14:textId="7346AB53" w:rsidR="00F5013F" w:rsidRPr="00082FA3" w:rsidRDefault="00C96D51" w:rsidP="00907367">
      <w:pPr>
        <w:rPr>
          <w:rFonts w:cs="Calibri Light"/>
          <w:lang w:val="sq-AL"/>
        </w:rPr>
      </w:pPr>
      <w:r w:rsidRPr="00082FA3">
        <w:rPr>
          <w:rFonts w:cs="Calibri Light"/>
          <w:lang w:val="sq-AL"/>
        </w:rPr>
        <w:t>Për informacion më të detajuar të nxjerrë drejtpërdrejt nga Matrica e Monitorimit, referojuni tabelës në vijim.</w:t>
      </w:r>
    </w:p>
    <w:p w14:paraId="3E5BF7F5" w14:textId="0A8DCC6B" w:rsidR="00F5013F" w:rsidRPr="00082FA3" w:rsidRDefault="00F5013F" w:rsidP="00907367">
      <w:pPr>
        <w:rPr>
          <w:rFonts w:cs="Calibri Light"/>
          <w:lang w:val="sq-AL"/>
        </w:rPr>
      </w:pPr>
    </w:p>
    <w:tbl>
      <w:tblPr>
        <w:tblW w:w="9300" w:type="dxa"/>
        <w:tblInd w:w="-38" w:type="dxa"/>
        <w:tblLayout w:type="fixed"/>
        <w:tblLook w:val="0000" w:firstRow="0" w:lastRow="0" w:firstColumn="0" w:lastColumn="0" w:noHBand="0" w:noVBand="0"/>
      </w:tblPr>
      <w:tblGrid>
        <w:gridCol w:w="4044"/>
        <w:gridCol w:w="4381"/>
        <w:gridCol w:w="875"/>
      </w:tblGrid>
      <w:tr w:rsidR="0098434B" w:rsidRPr="00082FA3" w14:paraId="3C608B65" w14:textId="77777777" w:rsidTr="0098434B">
        <w:trPr>
          <w:trHeight w:val="276"/>
        </w:trPr>
        <w:tc>
          <w:tcPr>
            <w:tcW w:w="4044" w:type="dxa"/>
            <w:tcBorders>
              <w:top w:val="single" w:sz="6" w:space="0" w:color="auto"/>
              <w:left w:val="single" w:sz="6" w:space="0" w:color="auto"/>
              <w:bottom w:val="nil"/>
              <w:right w:val="nil"/>
            </w:tcBorders>
          </w:tcPr>
          <w:p w14:paraId="2B420422" w14:textId="77777777" w:rsidR="0098434B" w:rsidRPr="00082FA3" w:rsidRDefault="0098434B" w:rsidP="002C70EF">
            <w:pPr>
              <w:autoSpaceDE w:val="0"/>
              <w:autoSpaceDN w:val="0"/>
              <w:adjustRightInd w:val="0"/>
              <w:contextualSpacing w:val="0"/>
              <w:rPr>
                <w:rFonts w:cs="Segoe UI Semilight"/>
                <w:b/>
                <w:bCs/>
                <w:color w:val="000000"/>
                <w:sz w:val="28"/>
                <w:szCs w:val="28"/>
                <w:lang w:val="sq-AL"/>
              </w:rPr>
            </w:pPr>
            <w:r w:rsidRPr="00082FA3">
              <w:rPr>
                <w:rFonts w:cs="Segoe UI Semilight"/>
                <w:b/>
                <w:bCs/>
                <w:color w:val="000000"/>
                <w:sz w:val="28"/>
                <w:szCs w:val="28"/>
                <w:lang w:val="sq-AL"/>
              </w:rPr>
              <w:t xml:space="preserve">Matrica e Monitorimit </w:t>
            </w:r>
          </w:p>
        </w:tc>
        <w:tc>
          <w:tcPr>
            <w:tcW w:w="4381" w:type="dxa"/>
            <w:tcBorders>
              <w:top w:val="single" w:sz="6" w:space="0" w:color="auto"/>
              <w:left w:val="nil"/>
              <w:bottom w:val="nil"/>
              <w:right w:val="nil"/>
            </w:tcBorders>
          </w:tcPr>
          <w:p w14:paraId="1EA54753" w14:textId="77777777" w:rsidR="0098434B" w:rsidRPr="00082FA3" w:rsidRDefault="0098434B">
            <w:pPr>
              <w:autoSpaceDE w:val="0"/>
              <w:autoSpaceDN w:val="0"/>
              <w:adjustRightInd w:val="0"/>
              <w:contextualSpacing w:val="0"/>
              <w:jc w:val="center"/>
              <w:rPr>
                <w:rFonts w:cs="Segoe UI Semilight"/>
                <w:b/>
                <w:bCs/>
                <w:color w:val="000000"/>
                <w:sz w:val="28"/>
                <w:szCs w:val="28"/>
                <w:lang w:val="sq-AL"/>
              </w:rPr>
            </w:pPr>
          </w:p>
        </w:tc>
        <w:tc>
          <w:tcPr>
            <w:tcW w:w="875" w:type="dxa"/>
            <w:tcBorders>
              <w:top w:val="single" w:sz="6" w:space="0" w:color="auto"/>
              <w:left w:val="nil"/>
              <w:bottom w:val="nil"/>
              <w:right w:val="single" w:sz="6" w:space="0" w:color="auto"/>
            </w:tcBorders>
          </w:tcPr>
          <w:p w14:paraId="45ADECC1" w14:textId="77777777" w:rsidR="0098434B" w:rsidRPr="00082FA3" w:rsidRDefault="0098434B">
            <w:pPr>
              <w:autoSpaceDE w:val="0"/>
              <w:autoSpaceDN w:val="0"/>
              <w:adjustRightInd w:val="0"/>
              <w:contextualSpacing w:val="0"/>
              <w:jc w:val="center"/>
              <w:rPr>
                <w:rFonts w:cs="Segoe UI Semilight"/>
                <w:b/>
                <w:bCs/>
                <w:color w:val="000000"/>
                <w:sz w:val="28"/>
                <w:szCs w:val="28"/>
                <w:lang w:val="sq-AL"/>
              </w:rPr>
            </w:pPr>
          </w:p>
        </w:tc>
      </w:tr>
      <w:tr w:rsidR="0098434B" w:rsidRPr="00082FA3" w14:paraId="1B11938C" w14:textId="77777777" w:rsidTr="0098434B">
        <w:trPr>
          <w:trHeight w:val="276"/>
        </w:trPr>
        <w:tc>
          <w:tcPr>
            <w:tcW w:w="4044" w:type="dxa"/>
            <w:tcBorders>
              <w:top w:val="nil"/>
              <w:left w:val="single" w:sz="6" w:space="0" w:color="auto"/>
              <w:bottom w:val="single" w:sz="6" w:space="0" w:color="C0C0C0"/>
              <w:right w:val="nil"/>
            </w:tcBorders>
          </w:tcPr>
          <w:p w14:paraId="5ED06F04" w14:textId="77777777" w:rsidR="0098434B" w:rsidRPr="00082FA3" w:rsidRDefault="0098434B">
            <w:pPr>
              <w:autoSpaceDE w:val="0"/>
              <w:autoSpaceDN w:val="0"/>
              <w:adjustRightInd w:val="0"/>
              <w:contextualSpacing w:val="0"/>
              <w:jc w:val="center"/>
              <w:rPr>
                <w:rFonts w:cs="Segoe UI Semilight"/>
                <w:b/>
                <w:bCs/>
                <w:color w:val="000000"/>
                <w:sz w:val="28"/>
                <w:szCs w:val="28"/>
                <w:lang w:val="sq-AL"/>
              </w:rPr>
            </w:pPr>
          </w:p>
        </w:tc>
        <w:tc>
          <w:tcPr>
            <w:tcW w:w="4381" w:type="dxa"/>
            <w:tcBorders>
              <w:top w:val="nil"/>
              <w:left w:val="nil"/>
              <w:bottom w:val="single" w:sz="6" w:space="0" w:color="C0C0C0"/>
              <w:right w:val="nil"/>
            </w:tcBorders>
          </w:tcPr>
          <w:p w14:paraId="7D3FD7AC" w14:textId="77777777" w:rsidR="0098434B" w:rsidRPr="00082FA3" w:rsidRDefault="0098434B">
            <w:pPr>
              <w:autoSpaceDE w:val="0"/>
              <w:autoSpaceDN w:val="0"/>
              <w:adjustRightInd w:val="0"/>
              <w:contextualSpacing w:val="0"/>
              <w:jc w:val="center"/>
              <w:rPr>
                <w:rFonts w:cs="Segoe UI Semilight"/>
                <w:b/>
                <w:bCs/>
                <w:color w:val="000000"/>
                <w:sz w:val="28"/>
                <w:szCs w:val="28"/>
                <w:lang w:val="sq-AL"/>
              </w:rPr>
            </w:pPr>
          </w:p>
        </w:tc>
        <w:tc>
          <w:tcPr>
            <w:tcW w:w="875" w:type="dxa"/>
            <w:tcBorders>
              <w:top w:val="nil"/>
              <w:left w:val="nil"/>
              <w:bottom w:val="single" w:sz="6" w:space="0" w:color="C0C0C0"/>
              <w:right w:val="single" w:sz="6" w:space="0" w:color="auto"/>
            </w:tcBorders>
          </w:tcPr>
          <w:p w14:paraId="1541DEEB" w14:textId="77777777" w:rsidR="0098434B" w:rsidRPr="00082FA3" w:rsidRDefault="0098434B">
            <w:pPr>
              <w:autoSpaceDE w:val="0"/>
              <w:autoSpaceDN w:val="0"/>
              <w:adjustRightInd w:val="0"/>
              <w:contextualSpacing w:val="0"/>
              <w:jc w:val="center"/>
              <w:rPr>
                <w:rFonts w:cs="Segoe UI Semilight"/>
                <w:b/>
                <w:bCs/>
                <w:color w:val="000000"/>
                <w:sz w:val="28"/>
                <w:szCs w:val="28"/>
                <w:lang w:val="sq-AL"/>
              </w:rPr>
            </w:pPr>
          </w:p>
        </w:tc>
      </w:tr>
      <w:tr w:rsidR="0098434B" w:rsidRPr="00082FA3" w14:paraId="19312825" w14:textId="77777777" w:rsidTr="0098434B">
        <w:trPr>
          <w:trHeight w:val="411"/>
        </w:trPr>
        <w:tc>
          <w:tcPr>
            <w:tcW w:w="4044" w:type="dxa"/>
            <w:tcBorders>
              <w:top w:val="nil"/>
              <w:left w:val="single" w:sz="6" w:space="0" w:color="auto"/>
              <w:bottom w:val="single" w:sz="6" w:space="0" w:color="auto"/>
              <w:right w:val="single" w:sz="6" w:space="0" w:color="auto"/>
            </w:tcBorders>
            <w:shd w:val="solid" w:color="808080" w:fill="auto"/>
          </w:tcPr>
          <w:p w14:paraId="0C5621DA" w14:textId="77777777" w:rsidR="0098434B" w:rsidRPr="00082FA3" w:rsidRDefault="0098434B">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Veprimi</w:t>
            </w:r>
          </w:p>
        </w:tc>
        <w:tc>
          <w:tcPr>
            <w:tcW w:w="4381" w:type="dxa"/>
            <w:tcBorders>
              <w:top w:val="nil"/>
              <w:left w:val="single" w:sz="6" w:space="0" w:color="auto"/>
              <w:bottom w:val="single" w:sz="6" w:space="0" w:color="auto"/>
              <w:right w:val="single" w:sz="6" w:space="0" w:color="auto"/>
            </w:tcBorders>
            <w:shd w:val="solid" w:color="808080" w:fill="auto"/>
          </w:tcPr>
          <w:p w14:paraId="5F5D6051" w14:textId="77777777" w:rsidR="0098434B" w:rsidRPr="00082FA3" w:rsidRDefault="0098434B">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Treguesi i Progresit</w:t>
            </w:r>
          </w:p>
        </w:tc>
        <w:tc>
          <w:tcPr>
            <w:tcW w:w="875" w:type="dxa"/>
            <w:tcBorders>
              <w:top w:val="nil"/>
              <w:left w:val="single" w:sz="6" w:space="0" w:color="auto"/>
              <w:bottom w:val="single" w:sz="6" w:space="0" w:color="auto"/>
              <w:right w:val="single" w:sz="6" w:space="0" w:color="auto"/>
            </w:tcBorders>
            <w:shd w:val="solid" w:color="808080" w:fill="auto"/>
          </w:tcPr>
          <w:p w14:paraId="1C44DF24" w14:textId="77777777" w:rsidR="0098434B" w:rsidRPr="00082FA3" w:rsidRDefault="0098434B">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 xml:space="preserve">Notimi </w:t>
            </w:r>
          </w:p>
        </w:tc>
      </w:tr>
      <w:tr w:rsidR="0098434B" w:rsidRPr="00082FA3" w14:paraId="55CF459E" w14:textId="77777777" w:rsidTr="0098434B">
        <w:trPr>
          <w:trHeight w:val="572"/>
        </w:trPr>
        <w:tc>
          <w:tcPr>
            <w:tcW w:w="9300" w:type="dxa"/>
            <w:gridSpan w:val="3"/>
            <w:tcBorders>
              <w:top w:val="single" w:sz="6" w:space="0" w:color="auto"/>
              <w:left w:val="single" w:sz="6" w:space="0" w:color="auto"/>
              <w:bottom w:val="single" w:sz="6" w:space="0" w:color="auto"/>
              <w:right w:val="single" w:sz="6" w:space="0" w:color="auto"/>
            </w:tcBorders>
            <w:shd w:val="solid" w:color="333333" w:fill="auto"/>
          </w:tcPr>
          <w:p w14:paraId="39C85770" w14:textId="6A1A5BDD" w:rsidR="0098434B" w:rsidRPr="00082FA3" w:rsidRDefault="0098434B" w:rsidP="0098434B">
            <w:pPr>
              <w:autoSpaceDE w:val="0"/>
              <w:autoSpaceDN w:val="0"/>
              <w:adjustRightInd w:val="0"/>
              <w:contextualSpacing w:val="0"/>
              <w:jc w:val="left"/>
              <w:rPr>
                <w:rFonts w:cs="Segoe UI Semilight"/>
                <w:color w:val="000000"/>
                <w:sz w:val="24"/>
                <w:szCs w:val="24"/>
                <w:lang w:val="sq-AL"/>
              </w:rPr>
            </w:pPr>
            <w:r w:rsidRPr="00082FA3">
              <w:rPr>
                <w:rFonts w:cs="Segoe UI Semilight"/>
                <w:b/>
                <w:bCs/>
                <w:color w:val="FFFFFF"/>
                <w:sz w:val="24"/>
                <w:szCs w:val="24"/>
                <w:lang w:val="sq-AL"/>
              </w:rPr>
              <w:t>Objektivi Strategjik: 2. Sistem i ndërtuar i kontraktimit të shërbimeve publike për organizatat e shoqërisë civile</w:t>
            </w:r>
          </w:p>
        </w:tc>
      </w:tr>
      <w:tr w:rsidR="0098434B" w:rsidRPr="00082FA3" w14:paraId="7881B6C3" w14:textId="77777777" w:rsidTr="0098434B">
        <w:trPr>
          <w:trHeight w:val="599"/>
        </w:trPr>
        <w:tc>
          <w:tcPr>
            <w:tcW w:w="9300" w:type="dxa"/>
            <w:gridSpan w:val="3"/>
            <w:tcBorders>
              <w:top w:val="single" w:sz="6" w:space="0" w:color="auto"/>
              <w:left w:val="single" w:sz="6" w:space="0" w:color="auto"/>
              <w:bottom w:val="single" w:sz="6" w:space="0" w:color="auto"/>
              <w:right w:val="single" w:sz="6" w:space="0" w:color="auto"/>
            </w:tcBorders>
            <w:shd w:val="solid" w:color="C0C0C0" w:fill="auto"/>
          </w:tcPr>
          <w:p w14:paraId="0BAEA7C0" w14:textId="77777777" w:rsidR="0098434B" w:rsidRPr="00082FA3" w:rsidRDefault="0098434B">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2.1. Hartimi i kornizës ligjore që rregullon procedurat e kontraktimit të shërbimeve publike nga OShC dhe që përcakton fushat e kontraktimit</w:t>
            </w:r>
          </w:p>
        </w:tc>
      </w:tr>
      <w:tr w:rsidR="0098434B" w:rsidRPr="00082FA3" w14:paraId="21F72447" w14:textId="77777777" w:rsidTr="0098434B">
        <w:trPr>
          <w:trHeight w:val="822"/>
        </w:trPr>
        <w:tc>
          <w:tcPr>
            <w:tcW w:w="4044" w:type="dxa"/>
            <w:tcBorders>
              <w:top w:val="single" w:sz="6" w:space="0" w:color="auto"/>
              <w:left w:val="single" w:sz="6" w:space="0" w:color="auto"/>
              <w:bottom w:val="single" w:sz="6" w:space="0" w:color="auto"/>
              <w:right w:val="single" w:sz="6" w:space="0" w:color="auto"/>
            </w:tcBorders>
          </w:tcPr>
          <w:p w14:paraId="234D48E2"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lastRenderedPageBreak/>
              <w:t>2.1.1. Vazhdimësia e punës së trupit të përbashkët për ndërtimit të sistemit të kontraktimit të shërbimeve publike nga OSHC-të sipas mandatit</w:t>
            </w:r>
          </w:p>
        </w:tc>
        <w:tc>
          <w:tcPr>
            <w:tcW w:w="4381" w:type="dxa"/>
            <w:tcBorders>
              <w:top w:val="single" w:sz="6" w:space="0" w:color="auto"/>
              <w:left w:val="single" w:sz="6" w:space="0" w:color="auto"/>
              <w:bottom w:val="single" w:sz="6" w:space="0" w:color="auto"/>
              <w:right w:val="single" w:sz="6" w:space="0" w:color="auto"/>
            </w:tcBorders>
          </w:tcPr>
          <w:p w14:paraId="66F1CB42"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Numri i takimeve dhe përmbushja e detyrave nga trupa e përbashkët për caktimin e standardeve dhe parimeve për kontraktim të shërbimeve publike nga OSHC-të sipas vendimit</w:t>
            </w:r>
          </w:p>
        </w:tc>
        <w:tc>
          <w:tcPr>
            <w:tcW w:w="875" w:type="dxa"/>
            <w:tcBorders>
              <w:top w:val="single" w:sz="6" w:space="0" w:color="auto"/>
              <w:left w:val="single" w:sz="6" w:space="0" w:color="auto"/>
              <w:bottom w:val="single" w:sz="6" w:space="0" w:color="auto"/>
              <w:right w:val="single" w:sz="6" w:space="0" w:color="auto"/>
            </w:tcBorders>
            <w:shd w:val="solid" w:color="FFFFFF" w:fill="auto"/>
          </w:tcPr>
          <w:p w14:paraId="650F95EA"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98434B" w:rsidRPr="00082FA3" w14:paraId="713B8C26" w14:textId="77777777" w:rsidTr="0098434B">
        <w:trPr>
          <w:trHeight w:val="822"/>
        </w:trPr>
        <w:tc>
          <w:tcPr>
            <w:tcW w:w="4044" w:type="dxa"/>
            <w:tcBorders>
              <w:top w:val="single" w:sz="6" w:space="0" w:color="auto"/>
              <w:left w:val="single" w:sz="6" w:space="0" w:color="auto"/>
              <w:bottom w:val="single" w:sz="6" w:space="0" w:color="auto"/>
              <w:right w:val="single" w:sz="6" w:space="0" w:color="auto"/>
            </w:tcBorders>
          </w:tcPr>
          <w:p w14:paraId="21376B59"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2.1.2. Identifikimi dhe analiza e kjornizës ligjore aktuale për rregullimin e procedurave të kontraktimit të shërbimeve publike nga OSHC-të</w:t>
            </w:r>
          </w:p>
        </w:tc>
        <w:tc>
          <w:tcPr>
            <w:tcW w:w="4381" w:type="dxa"/>
            <w:tcBorders>
              <w:top w:val="single" w:sz="6" w:space="0" w:color="auto"/>
              <w:left w:val="single" w:sz="6" w:space="0" w:color="auto"/>
              <w:bottom w:val="single" w:sz="6" w:space="0" w:color="auto"/>
              <w:right w:val="single" w:sz="6" w:space="0" w:color="auto"/>
            </w:tcBorders>
          </w:tcPr>
          <w:p w14:paraId="661DE79B"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konsultuar dhe është bërë publike analiza ligjore e aktuale për rregullimin e procedurave të kontraktimit të shërbimeve publike nga OSHC-të</w:t>
            </w:r>
          </w:p>
        </w:tc>
        <w:tc>
          <w:tcPr>
            <w:tcW w:w="875" w:type="dxa"/>
            <w:tcBorders>
              <w:top w:val="single" w:sz="6" w:space="0" w:color="auto"/>
              <w:left w:val="single" w:sz="6" w:space="0" w:color="auto"/>
              <w:bottom w:val="single" w:sz="6" w:space="0" w:color="auto"/>
              <w:right w:val="single" w:sz="6" w:space="0" w:color="auto"/>
            </w:tcBorders>
            <w:shd w:val="solid" w:color="FFFFFF" w:fill="auto"/>
          </w:tcPr>
          <w:p w14:paraId="244B20F1"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98434B" w:rsidRPr="00082FA3" w14:paraId="2825F1FE" w14:textId="77777777" w:rsidTr="0098434B">
        <w:trPr>
          <w:trHeight w:val="519"/>
        </w:trPr>
        <w:tc>
          <w:tcPr>
            <w:tcW w:w="4044" w:type="dxa"/>
            <w:tcBorders>
              <w:top w:val="single" w:sz="6" w:space="0" w:color="auto"/>
              <w:left w:val="single" w:sz="6" w:space="0" w:color="auto"/>
              <w:bottom w:val="single" w:sz="6" w:space="0" w:color="auto"/>
              <w:right w:val="single" w:sz="6" w:space="0" w:color="auto"/>
            </w:tcBorders>
          </w:tcPr>
          <w:p w14:paraId="147C7C67"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2.1.3. Identifikimi i fushave që OSHC-të mund të ofrojnë shërbime publike</w:t>
            </w:r>
          </w:p>
        </w:tc>
        <w:tc>
          <w:tcPr>
            <w:tcW w:w="4381" w:type="dxa"/>
            <w:tcBorders>
              <w:top w:val="single" w:sz="6" w:space="0" w:color="auto"/>
              <w:left w:val="single" w:sz="6" w:space="0" w:color="auto"/>
              <w:bottom w:val="single" w:sz="6" w:space="0" w:color="auto"/>
              <w:right w:val="single" w:sz="6" w:space="0" w:color="auto"/>
            </w:tcBorders>
          </w:tcPr>
          <w:p w14:paraId="06BD32CB" w14:textId="7980253F"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identifikuar fushat në të cilat OSHC-të mund të ofrojnë shërbime</w:t>
            </w:r>
          </w:p>
        </w:tc>
        <w:tc>
          <w:tcPr>
            <w:tcW w:w="875" w:type="dxa"/>
            <w:tcBorders>
              <w:top w:val="single" w:sz="6" w:space="0" w:color="auto"/>
              <w:left w:val="single" w:sz="6" w:space="0" w:color="auto"/>
              <w:bottom w:val="single" w:sz="6" w:space="0" w:color="auto"/>
              <w:right w:val="single" w:sz="6" w:space="0" w:color="auto"/>
            </w:tcBorders>
            <w:shd w:val="solid" w:color="FFFFFF" w:fill="auto"/>
          </w:tcPr>
          <w:p w14:paraId="23525224"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98434B" w:rsidRPr="00082FA3" w14:paraId="6396B4A4" w14:textId="77777777" w:rsidTr="0098434B">
        <w:trPr>
          <w:trHeight w:val="519"/>
        </w:trPr>
        <w:tc>
          <w:tcPr>
            <w:tcW w:w="4044" w:type="dxa"/>
            <w:tcBorders>
              <w:top w:val="single" w:sz="6" w:space="0" w:color="auto"/>
              <w:left w:val="single" w:sz="6" w:space="0" w:color="auto"/>
              <w:bottom w:val="single" w:sz="6" w:space="0" w:color="auto"/>
              <w:right w:val="single" w:sz="6" w:space="0" w:color="auto"/>
            </w:tcBorders>
          </w:tcPr>
          <w:p w14:paraId="52C1589E"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2.1.4 Hulumtimi i llojit të shërbimit që aktualisht ofrohen nga OSHC-të</w:t>
            </w:r>
          </w:p>
        </w:tc>
        <w:tc>
          <w:tcPr>
            <w:tcW w:w="4381" w:type="dxa"/>
            <w:tcBorders>
              <w:top w:val="single" w:sz="6" w:space="0" w:color="auto"/>
              <w:left w:val="single" w:sz="6" w:space="0" w:color="auto"/>
              <w:bottom w:val="single" w:sz="6" w:space="0" w:color="auto"/>
              <w:right w:val="single" w:sz="6" w:space="0" w:color="auto"/>
            </w:tcBorders>
          </w:tcPr>
          <w:p w14:paraId="5E7179D7"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realizar hulumtimi për llojet e shërbimeve që aktualisht ofrohen nga OSHC-të</w:t>
            </w:r>
          </w:p>
        </w:tc>
        <w:tc>
          <w:tcPr>
            <w:tcW w:w="875" w:type="dxa"/>
            <w:tcBorders>
              <w:top w:val="single" w:sz="6" w:space="0" w:color="auto"/>
              <w:left w:val="single" w:sz="6" w:space="0" w:color="auto"/>
              <w:bottom w:val="single" w:sz="6" w:space="0" w:color="auto"/>
              <w:right w:val="single" w:sz="6" w:space="0" w:color="auto"/>
            </w:tcBorders>
            <w:shd w:val="solid" w:color="FFFFFF" w:fill="auto"/>
          </w:tcPr>
          <w:p w14:paraId="425C2225"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98434B" w:rsidRPr="00082FA3" w14:paraId="3524FA15" w14:textId="77777777" w:rsidTr="0098434B">
        <w:trPr>
          <w:trHeight w:val="519"/>
        </w:trPr>
        <w:tc>
          <w:tcPr>
            <w:tcW w:w="4044" w:type="dxa"/>
            <w:tcBorders>
              <w:top w:val="single" w:sz="6" w:space="0" w:color="auto"/>
              <w:left w:val="single" w:sz="6" w:space="0" w:color="auto"/>
              <w:bottom w:val="single" w:sz="6" w:space="0" w:color="auto"/>
              <w:right w:val="single" w:sz="6" w:space="0" w:color="auto"/>
            </w:tcBorders>
          </w:tcPr>
          <w:p w14:paraId="279CD132"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2.1.5. Katalogimi i shërbimeve publike që mund të kontraktohen nga OSHC</w:t>
            </w:r>
          </w:p>
        </w:tc>
        <w:tc>
          <w:tcPr>
            <w:tcW w:w="4381" w:type="dxa"/>
            <w:tcBorders>
              <w:top w:val="single" w:sz="6" w:space="0" w:color="auto"/>
              <w:left w:val="single" w:sz="6" w:space="0" w:color="auto"/>
              <w:bottom w:val="single" w:sz="6" w:space="0" w:color="auto"/>
              <w:right w:val="single" w:sz="6" w:space="0" w:color="auto"/>
            </w:tcBorders>
          </w:tcPr>
          <w:p w14:paraId="461227EE"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kataloguar shërbimet publike që mund të kontraktohen nga OSHC</w:t>
            </w:r>
          </w:p>
        </w:tc>
        <w:tc>
          <w:tcPr>
            <w:tcW w:w="875" w:type="dxa"/>
            <w:tcBorders>
              <w:top w:val="single" w:sz="6" w:space="0" w:color="auto"/>
              <w:left w:val="single" w:sz="6" w:space="0" w:color="auto"/>
              <w:bottom w:val="single" w:sz="6" w:space="0" w:color="auto"/>
              <w:right w:val="single" w:sz="6" w:space="0" w:color="auto"/>
            </w:tcBorders>
            <w:shd w:val="solid" w:color="FFFFFF" w:fill="auto"/>
          </w:tcPr>
          <w:p w14:paraId="4192BB37"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w:t>
            </w:r>
          </w:p>
        </w:tc>
      </w:tr>
      <w:tr w:rsidR="0098434B" w:rsidRPr="00082FA3" w14:paraId="75BE5969" w14:textId="77777777" w:rsidTr="0098434B">
        <w:trPr>
          <w:trHeight w:val="599"/>
        </w:trPr>
        <w:tc>
          <w:tcPr>
            <w:tcW w:w="8425" w:type="dxa"/>
            <w:gridSpan w:val="2"/>
            <w:tcBorders>
              <w:top w:val="single" w:sz="6" w:space="0" w:color="auto"/>
              <w:left w:val="single" w:sz="6" w:space="0" w:color="auto"/>
              <w:bottom w:val="single" w:sz="6" w:space="0" w:color="auto"/>
              <w:right w:val="nil"/>
            </w:tcBorders>
            <w:shd w:val="solid" w:color="C0C0C0" w:fill="auto"/>
          </w:tcPr>
          <w:p w14:paraId="669ACDF2" w14:textId="77777777" w:rsidR="0098434B" w:rsidRPr="00082FA3" w:rsidRDefault="0098434B">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 xml:space="preserve">Masa/Nënobjektivi Strategjik: 2.2. Përcaktimi i standardeve dhe parimeve për kontraktimin e OShC-ve për ofrim të shërbimeve  </w:t>
            </w:r>
          </w:p>
        </w:tc>
        <w:tc>
          <w:tcPr>
            <w:tcW w:w="875" w:type="dxa"/>
            <w:tcBorders>
              <w:top w:val="single" w:sz="6" w:space="0" w:color="auto"/>
              <w:left w:val="nil"/>
              <w:bottom w:val="single" w:sz="6" w:space="0" w:color="auto"/>
              <w:right w:val="single" w:sz="6" w:space="0" w:color="auto"/>
            </w:tcBorders>
            <w:shd w:val="clear" w:color="auto" w:fill="BFBFBF" w:themeFill="background1" w:themeFillShade="BF"/>
          </w:tcPr>
          <w:p w14:paraId="13A32B3C" w14:textId="77777777" w:rsidR="0098434B" w:rsidRPr="00082FA3" w:rsidRDefault="0098434B">
            <w:pPr>
              <w:autoSpaceDE w:val="0"/>
              <w:autoSpaceDN w:val="0"/>
              <w:adjustRightInd w:val="0"/>
              <w:contextualSpacing w:val="0"/>
              <w:jc w:val="left"/>
              <w:rPr>
                <w:rFonts w:cs="Segoe UI Semilight"/>
                <w:color w:val="000000"/>
                <w:szCs w:val="20"/>
                <w:lang w:val="sq-AL"/>
              </w:rPr>
            </w:pPr>
          </w:p>
        </w:tc>
      </w:tr>
      <w:tr w:rsidR="0098434B" w:rsidRPr="00082FA3" w14:paraId="3766A4DD" w14:textId="77777777" w:rsidTr="0098434B">
        <w:trPr>
          <w:trHeight w:val="519"/>
        </w:trPr>
        <w:tc>
          <w:tcPr>
            <w:tcW w:w="4044" w:type="dxa"/>
            <w:tcBorders>
              <w:top w:val="single" w:sz="6" w:space="0" w:color="auto"/>
              <w:left w:val="single" w:sz="6" w:space="0" w:color="auto"/>
              <w:bottom w:val="single" w:sz="6" w:space="0" w:color="auto"/>
              <w:right w:val="single" w:sz="6" w:space="0" w:color="auto"/>
            </w:tcBorders>
          </w:tcPr>
          <w:p w14:paraId="22790F53"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Asnjë aktivitet nuk është planifikuar sipas Matrices</w:t>
            </w:r>
          </w:p>
        </w:tc>
        <w:tc>
          <w:tcPr>
            <w:tcW w:w="4381" w:type="dxa"/>
            <w:tcBorders>
              <w:top w:val="single" w:sz="6" w:space="0" w:color="auto"/>
              <w:left w:val="single" w:sz="6" w:space="0" w:color="auto"/>
              <w:bottom w:val="single" w:sz="6" w:space="0" w:color="auto"/>
              <w:right w:val="single" w:sz="6" w:space="0" w:color="auto"/>
            </w:tcBorders>
          </w:tcPr>
          <w:p w14:paraId="194DB880" w14:textId="77777777" w:rsidR="0098434B" w:rsidRPr="00082FA3" w:rsidRDefault="0098434B">
            <w:pPr>
              <w:autoSpaceDE w:val="0"/>
              <w:autoSpaceDN w:val="0"/>
              <w:adjustRightInd w:val="0"/>
              <w:contextualSpacing w:val="0"/>
              <w:jc w:val="left"/>
              <w:rPr>
                <w:rFonts w:cs="Segoe UI Semilight"/>
                <w:color w:val="000000"/>
                <w:szCs w:val="20"/>
                <w:lang w:val="sq-AL"/>
              </w:rPr>
            </w:pPr>
          </w:p>
        </w:tc>
        <w:tc>
          <w:tcPr>
            <w:tcW w:w="875" w:type="dxa"/>
            <w:tcBorders>
              <w:top w:val="single" w:sz="6" w:space="0" w:color="auto"/>
              <w:left w:val="single" w:sz="6" w:space="0" w:color="auto"/>
              <w:bottom w:val="single" w:sz="6" w:space="0" w:color="auto"/>
              <w:right w:val="single" w:sz="6" w:space="0" w:color="auto"/>
            </w:tcBorders>
          </w:tcPr>
          <w:p w14:paraId="55ABB5B4"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N/A</w:t>
            </w:r>
          </w:p>
        </w:tc>
      </w:tr>
      <w:tr w:rsidR="0098434B" w:rsidRPr="00082FA3" w14:paraId="0D14B3BB" w14:textId="77777777" w:rsidTr="0098434B">
        <w:trPr>
          <w:trHeight w:val="599"/>
        </w:trPr>
        <w:tc>
          <w:tcPr>
            <w:tcW w:w="8425" w:type="dxa"/>
            <w:gridSpan w:val="2"/>
            <w:tcBorders>
              <w:top w:val="single" w:sz="6" w:space="0" w:color="auto"/>
              <w:left w:val="single" w:sz="6" w:space="0" w:color="auto"/>
              <w:bottom w:val="single" w:sz="6" w:space="0" w:color="auto"/>
              <w:right w:val="nil"/>
            </w:tcBorders>
            <w:shd w:val="solid" w:color="C0C0C0" w:fill="auto"/>
          </w:tcPr>
          <w:p w14:paraId="77CF9064" w14:textId="77777777" w:rsidR="0098434B" w:rsidRPr="00082FA3" w:rsidRDefault="0098434B">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 xml:space="preserve">Masa/Nënobjektivi Strategjik: 2.3 Krijimi i mekanizmave për monitorim të zbatimit të licensave dhe shërbimeve të ofruara   </w:t>
            </w:r>
          </w:p>
        </w:tc>
        <w:tc>
          <w:tcPr>
            <w:tcW w:w="875" w:type="dxa"/>
            <w:tcBorders>
              <w:top w:val="single" w:sz="6" w:space="0" w:color="auto"/>
              <w:left w:val="nil"/>
              <w:bottom w:val="single" w:sz="6" w:space="0" w:color="auto"/>
              <w:right w:val="single" w:sz="6" w:space="0" w:color="auto"/>
            </w:tcBorders>
            <w:shd w:val="clear" w:color="auto" w:fill="BFBFBF" w:themeFill="background1" w:themeFillShade="BF"/>
          </w:tcPr>
          <w:p w14:paraId="5BCAC5D7" w14:textId="77777777" w:rsidR="0098434B" w:rsidRPr="00082FA3" w:rsidRDefault="0098434B">
            <w:pPr>
              <w:autoSpaceDE w:val="0"/>
              <w:autoSpaceDN w:val="0"/>
              <w:adjustRightInd w:val="0"/>
              <w:contextualSpacing w:val="0"/>
              <w:jc w:val="right"/>
              <w:rPr>
                <w:rFonts w:cs="Segoe UI Semilight"/>
                <w:color w:val="000000"/>
                <w:szCs w:val="20"/>
                <w:lang w:val="sq-AL"/>
              </w:rPr>
            </w:pPr>
          </w:p>
        </w:tc>
      </w:tr>
      <w:tr w:rsidR="0098434B" w:rsidRPr="00082FA3" w14:paraId="6FBC06CB" w14:textId="77777777" w:rsidTr="0098434B">
        <w:trPr>
          <w:trHeight w:val="519"/>
        </w:trPr>
        <w:tc>
          <w:tcPr>
            <w:tcW w:w="4044" w:type="dxa"/>
            <w:tcBorders>
              <w:top w:val="single" w:sz="6" w:space="0" w:color="auto"/>
              <w:left w:val="single" w:sz="6" w:space="0" w:color="auto"/>
              <w:bottom w:val="single" w:sz="6" w:space="0" w:color="auto"/>
              <w:right w:val="single" w:sz="6" w:space="0" w:color="auto"/>
            </w:tcBorders>
          </w:tcPr>
          <w:p w14:paraId="6E3FD29D" w14:textId="77777777" w:rsidR="0098434B" w:rsidRPr="00082FA3" w:rsidRDefault="0098434B">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Asnjë aktivitet nuk është planifikuar sipas Matrices</w:t>
            </w:r>
          </w:p>
        </w:tc>
        <w:tc>
          <w:tcPr>
            <w:tcW w:w="4381" w:type="dxa"/>
            <w:tcBorders>
              <w:top w:val="single" w:sz="6" w:space="0" w:color="auto"/>
              <w:left w:val="single" w:sz="6" w:space="0" w:color="auto"/>
              <w:bottom w:val="single" w:sz="6" w:space="0" w:color="auto"/>
              <w:right w:val="single" w:sz="6" w:space="0" w:color="auto"/>
            </w:tcBorders>
          </w:tcPr>
          <w:p w14:paraId="217FCE64" w14:textId="77777777" w:rsidR="0098434B" w:rsidRPr="00082FA3" w:rsidRDefault="0098434B">
            <w:pPr>
              <w:autoSpaceDE w:val="0"/>
              <w:autoSpaceDN w:val="0"/>
              <w:adjustRightInd w:val="0"/>
              <w:contextualSpacing w:val="0"/>
              <w:jc w:val="right"/>
              <w:rPr>
                <w:rFonts w:cs="Segoe UI Semilight"/>
                <w:color w:val="000000"/>
                <w:szCs w:val="20"/>
                <w:lang w:val="sq-AL"/>
              </w:rPr>
            </w:pPr>
          </w:p>
        </w:tc>
        <w:tc>
          <w:tcPr>
            <w:tcW w:w="875" w:type="dxa"/>
            <w:tcBorders>
              <w:top w:val="single" w:sz="6" w:space="0" w:color="auto"/>
              <w:left w:val="single" w:sz="6" w:space="0" w:color="auto"/>
              <w:bottom w:val="single" w:sz="6" w:space="0" w:color="auto"/>
              <w:right w:val="single" w:sz="6" w:space="0" w:color="auto"/>
            </w:tcBorders>
          </w:tcPr>
          <w:p w14:paraId="3F1DA7D2" w14:textId="77777777" w:rsidR="0098434B" w:rsidRPr="00082FA3" w:rsidRDefault="0098434B">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N/A</w:t>
            </w:r>
          </w:p>
        </w:tc>
      </w:tr>
    </w:tbl>
    <w:p w14:paraId="37FEE6C4" w14:textId="73CD9223" w:rsidR="00F5013F" w:rsidRDefault="00F5013F" w:rsidP="00907367">
      <w:pPr>
        <w:rPr>
          <w:rFonts w:cs="Calibri Light"/>
          <w:lang w:val="sq-AL"/>
        </w:rPr>
      </w:pPr>
    </w:p>
    <w:p w14:paraId="306C3F07" w14:textId="77777777" w:rsidR="00E23437" w:rsidRPr="00082FA3" w:rsidRDefault="00E23437" w:rsidP="00907367">
      <w:pPr>
        <w:rPr>
          <w:rFonts w:cs="Calibri Light"/>
          <w:lang w:val="sq-AL"/>
        </w:rPr>
      </w:pPr>
    </w:p>
    <w:p w14:paraId="14B57C02" w14:textId="794C2A21" w:rsidR="00907367" w:rsidRPr="00082FA3" w:rsidRDefault="007562F7" w:rsidP="007752F1">
      <w:pPr>
        <w:shd w:val="clear" w:color="auto" w:fill="B7FFFF"/>
        <w:rPr>
          <w:rFonts w:cs="Calibri Light"/>
          <w:lang w:val="sq-AL"/>
        </w:rPr>
      </w:pPr>
      <w:r w:rsidRPr="00082FA3">
        <w:rPr>
          <w:rFonts w:cs="Calibri Light"/>
          <w:b/>
          <w:lang w:val="sq-AL"/>
        </w:rPr>
        <w:t xml:space="preserve">2.2.3 </w:t>
      </w:r>
      <w:r w:rsidR="0083083D" w:rsidRPr="00082FA3">
        <w:rPr>
          <w:rFonts w:cs="Calibri Light"/>
          <w:b/>
          <w:lang w:val="sq-AL"/>
        </w:rPr>
        <w:t xml:space="preserve">Objektivi </w:t>
      </w:r>
      <w:r w:rsidRPr="00082FA3">
        <w:rPr>
          <w:rFonts w:cs="Calibri Light"/>
          <w:b/>
          <w:lang w:val="sq-AL"/>
        </w:rPr>
        <w:t>Strateg</w:t>
      </w:r>
      <w:r w:rsidR="0083083D" w:rsidRPr="00082FA3">
        <w:rPr>
          <w:rFonts w:cs="Calibri Light"/>
          <w:b/>
          <w:lang w:val="sq-AL"/>
        </w:rPr>
        <w:t>jik</w:t>
      </w:r>
      <w:r w:rsidR="00907367" w:rsidRPr="00082FA3">
        <w:rPr>
          <w:rFonts w:cs="Calibri Light"/>
          <w:b/>
          <w:lang w:val="sq-AL"/>
        </w:rPr>
        <w:t xml:space="preserve"> 3:</w:t>
      </w:r>
      <w:r w:rsidR="00907367" w:rsidRPr="00082FA3">
        <w:rPr>
          <w:rFonts w:cs="Calibri Light"/>
          <w:lang w:val="sq-AL"/>
        </w:rPr>
        <w:t xml:space="preserve"> </w:t>
      </w:r>
      <w:r w:rsidR="0083083D" w:rsidRPr="00082FA3">
        <w:rPr>
          <w:rFonts w:cs="Calibri Light"/>
          <w:lang w:val="sq-AL"/>
        </w:rPr>
        <w:t>Sistemi operativ dhe kriteret e përcaktuara për mbështetjen financiare për OSHC-të</w:t>
      </w:r>
    </w:p>
    <w:p w14:paraId="7D880BE4" w14:textId="77777777" w:rsidR="007752F1" w:rsidRPr="00082FA3" w:rsidRDefault="007752F1" w:rsidP="007752F1">
      <w:pPr>
        <w:shd w:val="clear" w:color="auto" w:fill="B7FFFF"/>
        <w:rPr>
          <w:rFonts w:cs="Calibri Light"/>
          <w:lang w:val="sq-AL"/>
        </w:rPr>
      </w:pPr>
    </w:p>
    <w:p w14:paraId="11630C0E" w14:textId="77777777" w:rsidR="00670449" w:rsidRPr="00082FA3" w:rsidRDefault="00670449" w:rsidP="00907367">
      <w:pPr>
        <w:rPr>
          <w:rFonts w:cs="Calibri Light"/>
          <w:lang w:val="sq-AL"/>
        </w:rPr>
      </w:pPr>
    </w:p>
    <w:p w14:paraId="16E74D3A" w14:textId="77777777" w:rsidR="0083083D" w:rsidRPr="00082FA3" w:rsidRDefault="0083083D" w:rsidP="00907367">
      <w:pPr>
        <w:rPr>
          <w:rFonts w:cs="Calibri Light"/>
          <w:lang w:val="sq-AL"/>
        </w:rPr>
      </w:pPr>
      <w:r w:rsidRPr="00082FA3">
        <w:rPr>
          <w:rFonts w:cs="Calibri Light"/>
          <w:lang w:val="sq-AL"/>
        </w:rPr>
        <w:t xml:space="preserve">Zbatimi i këtij objektivi strategjik ka arritur një nivel progresi prej </w:t>
      </w:r>
      <w:r w:rsidRPr="00082FA3">
        <w:rPr>
          <w:rFonts w:cs="Calibri Light"/>
          <w:b/>
          <w:lang w:val="sq-AL"/>
        </w:rPr>
        <w:t>70 përqind</w:t>
      </w:r>
      <w:r w:rsidRPr="00082FA3">
        <w:rPr>
          <w:rFonts w:cs="Calibri Light"/>
          <w:lang w:val="sq-AL"/>
        </w:rPr>
        <w:t xml:space="preserve"> për krijimin e një sistemi transparent financiar për financimin e shoqërisë civile me mekanizma të qarta të monitorimit dhe raportimit.</w:t>
      </w:r>
    </w:p>
    <w:p w14:paraId="54CB6C25" w14:textId="77777777" w:rsidR="0083083D" w:rsidRPr="00082FA3" w:rsidRDefault="0083083D" w:rsidP="00907367">
      <w:pPr>
        <w:rPr>
          <w:rFonts w:cs="Calibri Light"/>
          <w:lang w:val="sq-AL"/>
        </w:rPr>
      </w:pPr>
    </w:p>
    <w:p w14:paraId="1F58826A" w14:textId="6EBCE6D2" w:rsidR="00C16C35" w:rsidRPr="003746CA" w:rsidRDefault="0083083D" w:rsidP="003746CA">
      <w:pPr>
        <w:pStyle w:val="ListParagraph"/>
        <w:numPr>
          <w:ilvl w:val="0"/>
          <w:numId w:val="11"/>
        </w:numPr>
        <w:rPr>
          <w:rFonts w:cs="Calibri Light"/>
          <w:lang w:val="sq-AL"/>
        </w:rPr>
      </w:pPr>
      <w:r w:rsidRPr="00082FA3">
        <w:rPr>
          <w:rFonts w:cs="Calibri Light"/>
          <w:lang w:val="sq-AL"/>
        </w:rPr>
        <w:t xml:space="preserve">Legjislacioni është reformuar në lidhje me zbatimin e politikave dhe projekteve të përbashkëta të qeverisë dhe shoqërisë civile. Është bërë një analizë që do të identifikonte ndryshimet e kërkuara në bazë të të cilave legjislacioni është përshtatur. Lejimi që certifikata e OJQ-ve të përdoret si një dokument i përshtatshëm në procesin e prokurimit publik është arritja më e rëndësishme. Ky avancim ka ndodhur përmes ndryshimit të Ligjit për Prokurimin Publik në </w:t>
      </w:r>
      <w:r w:rsidRPr="00082FA3">
        <w:rPr>
          <w:rFonts w:cs="Calibri Light"/>
          <w:b/>
          <w:lang w:val="sq-AL"/>
        </w:rPr>
        <w:t>mars 2016</w:t>
      </w:r>
      <w:r w:rsidRPr="00082FA3">
        <w:rPr>
          <w:rStyle w:val="FootnoteReference"/>
          <w:rFonts w:cs="Calibri Light"/>
          <w:lang w:val="sq-AL"/>
        </w:rPr>
        <w:footnoteReference w:id="22"/>
      </w:r>
    </w:p>
    <w:p w14:paraId="70AAA7B1" w14:textId="5352835B" w:rsidR="00E25576" w:rsidRPr="00082FA3" w:rsidRDefault="00E25576" w:rsidP="00E25576">
      <w:pPr>
        <w:pStyle w:val="ListParagraph"/>
        <w:numPr>
          <w:ilvl w:val="0"/>
          <w:numId w:val="11"/>
        </w:numPr>
        <w:rPr>
          <w:rFonts w:cs="Calibri Light"/>
          <w:lang w:val="sq-AL"/>
        </w:rPr>
      </w:pPr>
      <w:r w:rsidRPr="00082FA3">
        <w:rPr>
          <w:rFonts w:cs="Calibri Light"/>
          <w:lang w:val="sq-AL"/>
        </w:rPr>
        <w:t xml:space="preserve">Iniciativat për krijimin e një mjedisi të politikave të favorshme për filantropinë dhe sponsorizimin nuk kanë qenë aq të suksesshme. ZQM ka përgatitur një draft koncept në bashkëpunim me Forumin për Iniciativa Qytetare (FIQ). Kjo koncept notë do të përdoret për qëllime të ndryshimit të një akti nënligjor në fushën e filantropisë dhe sponsorizimit. Megjithatë, </w:t>
      </w:r>
      <w:r w:rsidR="00954620" w:rsidRPr="00082FA3">
        <w:rPr>
          <w:rFonts w:cs="Calibri Light"/>
          <w:lang w:val="sq-AL"/>
        </w:rPr>
        <w:t>koncept</w:t>
      </w:r>
      <w:r w:rsidRPr="00082FA3">
        <w:rPr>
          <w:rFonts w:cs="Calibri Light"/>
          <w:lang w:val="sq-AL"/>
        </w:rPr>
        <w:t xml:space="preserve"> nota ende nuk është finalizuar dhe miratuar nga Zyra e Kryeministrit (ZKM).</w:t>
      </w:r>
    </w:p>
    <w:p w14:paraId="5DF02AC2" w14:textId="77777777" w:rsidR="00E25576" w:rsidRPr="00082FA3" w:rsidRDefault="00E25576" w:rsidP="00E25576">
      <w:pPr>
        <w:pStyle w:val="ListParagraph"/>
        <w:rPr>
          <w:rFonts w:cs="Calibri Light"/>
          <w:lang w:val="sq-AL"/>
        </w:rPr>
      </w:pPr>
    </w:p>
    <w:p w14:paraId="7459BDE1" w14:textId="393B2081" w:rsidR="00E25576" w:rsidRPr="00082FA3" w:rsidRDefault="00E25576" w:rsidP="00E25576">
      <w:pPr>
        <w:pStyle w:val="ListParagraph"/>
        <w:numPr>
          <w:ilvl w:val="0"/>
          <w:numId w:val="11"/>
        </w:numPr>
        <w:rPr>
          <w:rFonts w:cs="Calibri Light"/>
          <w:lang w:val="sq-AL"/>
        </w:rPr>
      </w:pPr>
      <w:r w:rsidRPr="00082FA3">
        <w:rPr>
          <w:rFonts w:cs="Calibri Light"/>
          <w:lang w:val="sq-AL"/>
        </w:rPr>
        <w:t xml:space="preserve">Statusi i Përfituesit Publik (SPB) është rishikuar dhe standardizuar me Ligjin e Lirisë së Asocimit në Organizatat Joqeveritare (OJQ) me qëllim të zgjerimit të kritereve të pranueshmërisë. Qëllimi i SPB është të ofrojë përjashtime fiskale dhe tatimore OSHC-ve vetëm në bazë të kushteve të caktuara, p.sh. OSHC-të organizojnë aktivitete të rregulluara me ligj në emër të interesit publik dhe raportojnë në baza vjetore në Ministrinë e Administratës Publike (MAP). Procese të reja të </w:t>
      </w:r>
      <w:r w:rsidRPr="00082FA3">
        <w:rPr>
          <w:rFonts w:cs="Calibri Light"/>
          <w:lang w:val="sq-AL"/>
        </w:rPr>
        <w:lastRenderedPageBreak/>
        <w:t>politikëbërjes janë iniciuar me ndryshimin e Ligjit për Lirinë e Asociimit për OJQ-të, e të cilat janë më të rëndësishmet.</w:t>
      </w:r>
      <w:r w:rsidR="005A6E43" w:rsidRPr="00082FA3">
        <w:rPr>
          <w:rStyle w:val="FootnoteReference"/>
          <w:lang w:val="sq-AL"/>
        </w:rPr>
        <w:t xml:space="preserve"> </w:t>
      </w:r>
      <w:r w:rsidR="005A6E43" w:rsidRPr="00082FA3">
        <w:rPr>
          <w:rStyle w:val="FootnoteReference"/>
          <w:lang w:val="sq-AL"/>
        </w:rPr>
        <w:footnoteReference w:id="23"/>
      </w:r>
    </w:p>
    <w:p w14:paraId="48FB8588" w14:textId="2C5ABF7E" w:rsidR="00686B26" w:rsidRPr="00082FA3" w:rsidRDefault="00686B26" w:rsidP="00C16C35">
      <w:pPr>
        <w:pStyle w:val="ListParagraph"/>
        <w:rPr>
          <w:rFonts w:cs="Calibri Light"/>
          <w:lang w:val="sq-AL"/>
        </w:rPr>
      </w:pPr>
    </w:p>
    <w:p w14:paraId="7E071D09" w14:textId="4C15B48D" w:rsidR="00526265" w:rsidRPr="00082FA3" w:rsidRDefault="00526265" w:rsidP="00526265">
      <w:pPr>
        <w:pStyle w:val="ListParagraph"/>
        <w:numPr>
          <w:ilvl w:val="0"/>
          <w:numId w:val="11"/>
        </w:numPr>
        <w:spacing w:before="60" w:after="60"/>
        <w:rPr>
          <w:lang w:val="sq-AL"/>
        </w:rPr>
      </w:pPr>
      <w:r w:rsidRPr="00082FA3">
        <w:rPr>
          <w:lang w:val="sq-AL"/>
        </w:rPr>
        <w:t xml:space="preserve">Baza e të dhënave të donatorëve është krijuar si pjesë e Iniciativës të Hapjes së Forumit të Donatorëve. Ministria e Integrimit Evropian (MIE) ka realizuar një program trajnimi në përdorimin e bazës së të dhënave. Pjesëmarrësit nga shoqëria civile ishin pajisur me llogari që </w:t>
      </w:r>
      <w:r w:rsidR="00954620" w:rsidRPr="00082FA3">
        <w:rPr>
          <w:lang w:val="sq-AL"/>
        </w:rPr>
        <w:t>i ‘u</w:t>
      </w:r>
      <w:r w:rsidRPr="00082FA3">
        <w:rPr>
          <w:lang w:val="sq-AL"/>
        </w:rPr>
        <w:t xml:space="preserve"> lejonte të kishin qasje në bazën e të dhënave.</w:t>
      </w:r>
      <w:r w:rsidRPr="00082FA3">
        <w:rPr>
          <w:rStyle w:val="FootnoteReference"/>
          <w:lang w:val="sq-AL"/>
        </w:rPr>
        <w:t xml:space="preserve"> </w:t>
      </w:r>
      <w:r w:rsidRPr="00082FA3">
        <w:rPr>
          <w:rStyle w:val="FootnoteReference"/>
          <w:lang w:val="sq-AL"/>
        </w:rPr>
        <w:footnoteReference w:id="24"/>
      </w:r>
      <w:r w:rsidRPr="00082FA3">
        <w:rPr>
          <w:lang w:val="sq-AL"/>
        </w:rPr>
        <w:t xml:space="preserve"> Mungesa e bazës së të dhënave të donatorëve është kritikuar nga TACSO. Megjithatë, ka pasur përpjekje për të krijuar një bazë të dhënash të tillë. Përpjekja e MIE, e përkrahur nga Zyra e Bashkimit Evropian në Kosovë për të implementuar Platformën e Menaxhimit të Ndihmave (PMN), si mjet për qeverinë dhe donatorët për të përcjellë dhe shkëmbyer informacione lidhur me aktivitetet e financuara nga ndihmat, ka sjellë një sukses të kufizuar, sepse nuk janë të disponueshme të dhëna të sakta për shumat e dhëna për shoqërinë civile.</w:t>
      </w:r>
      <w:r w:rsidRPr="00082FA3">
        <w:rPr>
          <w:rStyle w:val="FootnoteReference"/>
          <w:lang w:val="sq-AL"/>
        </w:rPr>
        <w:t xml:space="preserve"> </w:t>
      </w:r>
      <w:r w:rsidRPr="00082FA3">
        <w:rPr>
          <w:rStyle w:val="FootnoteReference"/>
          <w:lang w:val="sq-AL"/>
        </w:rPr>
        <w:footnoteReference w:id="25"/>
      </w:r>
      <w:r w:rsidR="001A38CA" w:rsidRPr="00082FA3">
        <w:rPr>
          <w:lang w:val="sq-AL"/>
        </w:rPr>
        <w:t xml:space="preserve"> Mbi gjitha, databaza nuk është duke u mirëmbajtur, dhe shoqëria civile nuk është prëfshirë në aktivitetet e koordinimit me donatorët. </w:t>
      </w:r>
    </w:p>
    <w:p w14:paraId="71F1EB50" w14:textId="23730F68" w:rsidR="00526265" w:rsidRPr="00082FA3" w:rsidRDefault="00526265" w:rsidP="001A38CA">
      <w:pPr>
        <w:rPr>
          <w:lang w:val="sq-AL"/>
        </w:rPr>
      </w:pPr>
    </w:p>
    <w:p w14:paraId="7ECC56F9" w14:textId="16F8CC6D" w:rsidR="003525C1" w:rsidRPr="00082FA3" w:rsidRDefault="003525C1" w:rsidP="003525C1">
      <w:pPr>
        <w:pStyle w:val="ListParagraph"/>
        <w:numPr>
          <w:ilvl w:val="0"/>
          <w:numId w:val="11"/>
        </w:numPr>
        <w:rPr>
          <w:lang w:val="sq-AL"/>
        </w:rPr>
      </w:pPr>
      <w:r w:rsidRPr="00082FA3">
        <w:rPr>
          <w:rFonts w:cs="Calibri Light"/>
          <w:lang w:val="sq-AL"/>
        </w:rPr>
        <w:t>Janë përcaktuar standardet dhe kriteret për disbursimin e fondeve publike për shoqërinë civile. Qeveri</w:t>
      </w:r>
      <w:r w:rsidR="00D225D9" w:rsidRPr="00082FA3">
        <w:rPr>
          <w:rFonts w:cs="Calibri Light"/>
          <w:lang w:val="sq-AL"/>
        </w:rPr>
        <w:t>a ka zgjedhur modelin e përzier t</w:t>
      </w:r>
      <w:r w:rsidRPr="00082FA3">
        <w:rPr>
          <w:rFonts w:cs="Calibri Light"/>
          <w:lang w:val="sq-AL"/>
        </w:rPr>
        <w:t>ë financimit të OJQ-ve sipas vendimit të marrë në qershor të vitit 2016.</w:t>
      </w:r>
      <w:r w:rsidR="00D225D9" w:rsidRPr="00082FA3">
        <w:rPr>
          <w:rStyle w:val="FootnoteReference"/>
          <w:lang w:val="sq-AL"/>
        </w:rPr>
        <w:t xml:space="preserve"> </w:t>
      </w:r>
      <w:r w:rsidR="00D225D9" w:rsidRPr="00082FA3">
        <w:rPr>
          <w:rStyle w:val="FootnoteReference"/>
          <w:lang w:val="sq-AL"/>
        </w:rPr>
        <w:footnoteReference w:id="26"/>
      </w:r>
      <w:r w:rsidRPr="00082FA3">
        <w:rPr>
          <w:rFonts w:cs="Calibri Light"/>
          <w:lang w:val="sq-AL"/>
        </w:rPr>
        <w:t xml:space="preserve"> Sipas këtij modeli, përgjegjësia e financimit të shoqërisë civile bie </w:t>
      </w:r>
      <w:r w:rsidR="00D225D9" w:rsidRPr="00082FA3">
        <w:rPr>
          <w:rFonts w:cs="Calibri Light"/>
          <w:lang w:val="sq-AL"/>
        </w:rPr>
        <w:t>mbi institucionet, "</w:t>
      </w:r>
      <w:r w:rsidRPr="00082FA3">
        <w:rPr>
          <w:rFonts w:cs="Calibri Light"/>
          <w:lang w:val="sq-AL"/>
        </w:rPr>
        <w:t>të cilat duhet t'i përmbahen rregullave dhe kritereve të caktuara të cilat janë unike për secilën e tyre".</w:t>
      </w:r>
      <w:r w:rsidR="00D225D9" w:rsidRPr="00082FA3">
        <w:rPr>
          <w:lang w:val="sq-AL"/>
        </w:rPr>
        <w:t>”</w:t>
      </w:r>
      <w:r w:rsidR="00D225D9" w:rsidRPr="00082FA3">
        <w:rPr>
          <w:rStyle w:val="FootnoteReference"/>
          <w:lang w:val="sq-AL"/>
        </w:rPr>
        <w:footnoteReference w:id="27"/>
      </w:r>
      <w:r w:rsidR="00D225D9" w:rsidRPr="00082FA3">
        <w:rPr>
          <w:lang w:val="sq-AL"/>
        </w:rPr>
        <w:t xml:space="preserve"> </w:t>
      </w:r>
      <w:r w:rsidRPr="00082FA3">
        <w:rPr>
          <w:rFonts w:cs="Calibri Light"/>
          <w:lang w:val="sq-AL"/>
        </w:rPr>
        <w:t xml:space="preserve"> Modeli i përzier</w:t>
      </w:r>
      <w:r w:rsidR="00D225D9" w:rsidRPr="00082FA3">
        <w:rPr>
          <w:rFonts w:cs="Calibri Light"/>
          <w:lang w:val="sq-AL"/>
        </w:rPr>
        <w:t xml:space="preserve"> </w:t>
      </w:r>
      <w:r w:rsidRPr="00082FA3">
        <w:rPr>
          <w:rFonts w:cs="Calibri Light"/>
          <w:lang w:val="sq-AL"/>
        </w:rPr>
        <w:t xml:space="preserve">ka shërbyer si bazë për ZKM / ZQM dhe Ministrinë e Financave për të hartuar dhe miratuar një rregullore specifike në </w:t>
      </w:r>
      <w:r w:rsidR="00D225D9" w:rsidRPr="00082FA3">
        <w:rPr>
          <w:rFonts w:cs="Calibri Light"/>
          <w:lang w:val="sq-AL"/>
        </w:rPr>
        <w:t xml:space="preserve">ketë </w:t>
      </w:r>
      <w:r w:rsidRPr="00082FA3">
        <w:rPr>
          <w:rFonts w:cs="Calibri Light"/>
          <w:lang w:val="sq-AL"/>
        </w:rPr>
        <w:t>fushë.</w:t>
      </w:r>
    </w:p>
    <w:p w14:paraId="0031860C" w14:textId="77777777" w:rsidR="003525C1" w:rsidRPr="00082FA3" w:rsidRDefault="003525C1" w:rsidP="003525C1">
      <w:pPr>
        <w:pStyle w:val="ListParagraph"/>
        <w:rPr>
          <w:rFonts w:cs="Calibri Light"/>
          <w:lang w:val="sq-AL"/>
        </w:rPr>
      </w:pPr>
    </w:p>
    <w:p w14:paraId="473C91A0" w14:textId="0360C9D3" w:rsidR="00D225D9" w:rsidRPr="00082FA3" w:rsidRDefault="00D225D9" w:rsidP="00D225D9">
      <w:pPr>
        <w:pStyle w:val="ListParagraph"/>
        <w:numPr>
          <w:ilvl w:val="0"/>
          <w:numId w:val="11"/>
        </w:numPr>
        <w:rPr>
          <w:lang w:val="sq-AL"/>
        </w:rPr>
      </w:pPr>
      <w:r w:rsidRPr="00082FA3">
        <w:rPr>
          <w:lang w:val="sq-AL"/>
        </w:rPr>
        <w:t xml:space="preserve">Në fund, qeveria ka miratuar rregulloren, sipas së cilës i ka përcaktuar </w:t>
      </w:r>
      <w:r w:rsidRPr="00082FA3">
        <w:rPr>
          <w:i/>
          <w:lang w:val="sq-AL"/>
        </w:rPr>
        <w:t>kriteret, standardet dhe procedurat themelore</w:t>
      </w:r>
      <w:r w:rsidRPr="00082FA3">
        <w:rPr>
          <w:lang w:val="sq-AL"/>
        </w:rPr>
        <w:t xml:space="preserve"> për financimin publik të OJQ-ve me qëllim të </w:t>
      </w:r>
      <w:r w:rsidRPr="00082FA3">
        <w:rPr>
          <w:b/>
          <w:lang w:val="sq-AL"/>
        </w:rPr>
        <w:t>"krijimit të një sistemi transparent dhe të përgjegjshëm"</w:t>
      </w:r>
      <w:r w:rsidRPr="00082FA3">
        <w:rPr>
          <w:rStyle w:val="FootnoteReference"/>
          <w:lang w:val="sq-AL"/>
        </w:rPr>
        <w:footnoteReference w:id="28"/>
      </w:r>
      <w:r w:rsidRPr="00082FA3">
        <w:rPr>
          <w:lang w:val="sq-AL"/>
        </w:rPr>
        <w:t xml:space="preserve"> </w:t>
      </w:r>
      <w:r w:rsidRPr="00082FA3">
        <w:rPr>
          <w:b/>
          <w:lang w:val="sq-AL"/>
        </w:rPr>
        <w:t xml:space="preserve"> </w:t>
      </w:r>
      <w:r w:rsidRPr="00082FA3">
        <w:rPr>
          <w:lang w:val="sq-AL"/>
        </w:rPr>
        <w:t xml:space="preserve">të financimit të projekteve dhe programeve të OJQ-ve, me kusht që ato të sjellin vlera të dukshme dhe të shtuar sociale dhe përmirësojnë cilësinë e jetës dhe të zhvillimit në vend. Në mars të vitit 2016, ZQM në bashkëpunim me Ministrinë e Financave (MF) ka përgatitur dhe publikuar </w:t>
      </w:r>
      <w:hyperlink r:id="rId21" w:history="1">
        <w:r w:rsidRPr="00082FA3">
          <w:rPr>
            <w:rStyle w:val="Hyperlink"/>
            <w:lang w:val="sq-AL"/>
          </w:rPr>
          <w:t>Raportin për Mbështetjen Financiare Publike për OJQ-të nga Institucionet e Republikës së Kosovës për Vitet 2015-2016.</w:t>
        </w:r>
      </w:hyperlink>
      <w:r w:rsidRPr="00082FA3">
        <w:rPr>
          <w:lang w:val="sq-AL"/>
        </w:rPr>
        <w:t xml:space="preserve"> Për shumë analistë të politikave dhe aktivistë të shoqërisë civile kjo shihet si një sukses i madh politik duke marrë parasysh mungesën e transparencës në të kaluarën.</w:t>
      </w:r>
    </w:p>
    <w:p w14:paraId="79AB8B00" w14:textId="77777777" w:rsidR="00D225D9" w:rsidRPr="00082FA3" w:rsidRDefault="00D225D9" w:rsidP="00D225D9">
      <w:pPr>
        <w:pStyle w:val="ListParagraph"/>
        <w:rPr>
          <w:lang w:val="sq-AL"/>
        </w:rPr>
      </w:pPr>
    </w:p>
    <w:p w14:paraId="68685598" w14:textId="355028EE" w:rsidR="00D225D9" w:rsidRPr="00082FA3" w:rsidRDefault="00D225D9" w:rsidP="00E05A4F">
      <w:pPr>
        <w:rPr>
          <w:rFonts w:cs="Calibri Light"/>
          <w:lang w:val="sq-AL"/>
        </w:rPr>
      </w:pPr>
      <w:r w:rsidRPr="00082FA3">
        <w:rPr>
          <w:rFonts w:cs="Calibri Light"/>
          <w:lang w:val="sq-AL"/>
        </w:rPr>
        <w:t>Për dallim nga vlerësimet e matricës së monitorimit, sistemi i vlerësimit me semafor tregon se duhet ndërmarrë veprime të caktuara për të arritur nivelin e progresit të raportuar nga Sekretariati. Siç tregohet në tabelën në vijim, nën-objektivat nuk arrijnë një nivel të kënaqshëm të zbatimit. Shumica e aktiviteteve të mbetura ri-vonohen për ndryshimin/plotësimin e ligjeve dhe për të arritur efektet praktike të Rregullores dhe Platformës Online.</w:t>
      </w:r>
    </w:p>
    <w:p w14:paraId="5F3F13DE" w14:textId="77777777" w:rsidR="002C70EF" w:rsidRPr="00082FA3" w:rsidRDefault="002C70EF" w:rsidP="00E05A4F">
      <w:pPr>
        <w:rPr>
          <w:rFonts w:cs="Calibri Light"/>
          <w:lang w:val="sq-AL"/>
        </w:rPr>
      </w:pPr>
    </w:p>
    <w:tbl>
      <w:tblPr>
        <w:tblStyle w:val="TableGridLight1"/>
        <w:tblW w:w="9085" w:type="dxa"/>
        <w:tblLook w:val="04A0" w:firstRow="1" w:lastRow="0" w:firstColumn="1" w:lastColumn="0" w:noHBand="0" w:noVBand="1"/>
      </w:tblPr>
      <w:tblGrid>
        <w:gridCol w:w="708"/>
        <w:gridCol w:w="4994"/>
        <w:gridCol w:w="3383"/>
      </w:tblGrid>
      <w:tr w:rsidR="00E05A4F" w:rsidRPr="00082FA3" w14:paraId="13807917" w14:textId="77777777" w:rsidTr="00B958A1">
        <w:trPr>
          <w:trHeight w:val="488"/>
        </w:trPr>
        <w:tc>
          <w:tcPr>
            <w:tcW w:w="708" w:type="dxa"/>
            <w:shd w:val="clear" w:color="auto" w:fill="F2F2F2" w:themeFill="background1" w:themeFillShade="F2"/>
            <w:vAlign w:val="center"/>
          </w:tcPr>
          <w:p w14:paraId="3297D6E4" w14:textId="77777777" w:rsidR="00E05A4F" w:rsidRPr="00082FA3" w:rsidRDefault="00E05A4F" w:rsidP="00B958A1">
            <w:pPr>
              <w:jc w:val="center"/>
              <w:rPr>
                <w:rFonts w:cs="Calibri Light"/>
                <w:sz w:val="18"/>
                <w:szCs w:val="18"/>
                <w:lang w:val="sq-AL"/>
              </w:rPr>
            </w:pPr>
            <w:r w:rsidRPr="00082FA3">
              <w:rPr>
                <w:rFonts w:cs="Calibri Light"/>
                <w:sz w:val="18"/>
                <w:szCs w:val="18"/>
                <w:lang w:val="sq-AL"/>
              </w:rPr>
              <w:br/>
            </w:r>
          </w:p>
        </w:tc>
        <w:tc>
          <w:tcPr>
            <w:tcW w:w="4994" w:type="dxa"/>
            <w:shd w:val="clear" w:color="auto" w:fill="F2F2F2" w:themeFill="background1" w:themeFillShade="F2"/>
            <w:vAlign w:val="center"/>
          </w:tcPr>
          <w:p w14:paraId="061BC0A6" w14:textId="104319B0" w:rsidR="00E05A4F" w:rsidRPr="00082FA3" w:rsidRDefault="00E05A4F" w:rsidP="00B958A1">
            <w:pPr>
              <w:rPr>
                <w:rFonts w:cs="Calibri Light"/>
                <w:sz w:val="18"/>
                <w:szCs w:val="18"/>
                <w:lang w:val="sq-AL"/>
              </w:rPr>
            </w:pPr>
            <w:r w:rsidRPr="00082FA3">
              <w:rPr>
                <w:rFonts w:cs="Calibri Light"/>
                <w:szCs w:val="20"/>
                <w:lang w:val="sq-AL"/>
              </w:rPr>
              <w:t>Obje</w:t>
            </w:r>
            <w:r w:rsidR="00CC143F" w:rsidRPr="00082FA3">
              <w:rPr>
                <w:rFonts w:cs="Calibri Light"/>
                <w:szCs w:val="20"/>
                <w:lang w:val="sq-AL"/>
              </w:rPr>
              <w:t>ktivi</w:t>
            </w:r>
            <w:r w:rsidRPr="00082FA3">
              <w:rPr>
                <w:rFonts w:cs="Calibri Light"/>
                <w:szCs w:val="20"/>
                <w:lang w:val="sq-AL"/>
              </w:rPr>
              <w:t xml:space="preserve"> </w:t>
            </w:r>
          </w:p>
        </w:tc>
        <w:tc>
          <w:tcPr>
            <w:tcW w:w="3383" w:type="dxa"/>
            <w:shd w:val="clear" w:color="auto" w:fill="F2F2F2" w:themeFill="background1" w:themeFillShade="F2"/>
            <w:vAlign w:val="center"/>
          </w:tcPr>
          <w:p w14:paraId="71BA4F48" w14:textId="79177FED" w:rsidR="00E05A4F" w:rsidRPr="00082FA3" w:rsidRDefault="00CC143F" w:rsidP="00B958A1">
            <w:pPr>
              <w:rPr>
                <w:rFonts w:cs="Calibri Light"/>
                <w:lang w:val="sq-AL"/>
              </w:rPr>
            </w:pPr>
            <w:r w:rsidRPr="00082FA3">
              <w:rPr>
                <w:rFonts w:cs="Calibri Light"/>
                <w:szCs w:val="20"/>
                <w:lang w:val="sq-AL"/>
              </w:rPr>
              <w:t>Veprimi</w:t>
            </w:r>
          </w:p>
        </w:tc>
      </w:tr>
      <w:tr w:rsidR="00E05A4F" w:rsidRPr="00082FA3" w14:paraId="44F3572E" w14:textId="77777777" w:rsidTr="00B958A1">
        <w:trPr>
          <w:trHeight w:val="488"/>
        </w:trPr>
        <w:tc>
          <w:tcPr>
            <w:tcW w:w="708" w:type="dxa"/>
            <w:shd w:val="clear" w:color="auto" w:fill="F2F2F2" w:themeFill="background1" w:themeFillShade="F2"/>
          </w:tcPr>
          <w:p w14:paraId="42B22B9E" w14:textId="77777777" w:rsidR="00E05A4F" w:rsidRPr="00082FA3" w:rsidRDefault="00E05A4F"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89984" behindDoc="0" locked="0" layoutInCell="1" allowOverlap="1" wp14:anchorId="42422364" wp14:editId="7E548452">
                      <wp:simplePos x="0" y="0"/>
                      <wp:positionH relativeFrom="column">
                        <wp:posOffset>57150</wp:posOffset>
                      </wp:positionH>
                      <wp:positionV relativeFrom="paragraph">
                        <wp:posOffset>38735</wp:posOffset>
                      </wp:positionV>
                      <wp:extent cx="236220" cy="228600"/>
                      <wp:effectExtent l="0" t="0" r="11430" b="19050"/>
                      <wp:wrapNone/>
                      <wp:docPr id="17" name="Flowchart: Connector 17"/>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F62047" id="Flowchart: Connector 17" o:spid="_x0000_s1026" type="#_x0000_t120" style="position:absolute;margin-left:4.5pt;margin-top:3.05pt;width:18.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" fillcolor="red" strokecolor="#7f7f7f [1612]" strokeweight="2pt"/>
                  </w:pict>
                </mc:Fallback>
              </mc:AlternateContent>
            </w:r>
          </w:p>
        </w:tc>
        <w:tc>
          <w:tcPr>
            <w:tcW w:w="4994" w:type="dxa"/>
          </w:tcPr>
          <w:p w14:paraId="48401215" w14:textId="0FBC2AB3" w:rsidR="00E05A4F" w:rsidRPr="00082FA3" w:rsidRDefault="00CC143F" w:rsidP="00B958A1">
            <w:pPr>
              <w:rPr>
                <w:rFonts w:cs="Calibri Light"/>
                <w:sz w:val="18"/>
                <w:szCs w:val="18"/>
                <w:lang w:val="sq-AL"/>
              </w:rPr>
            </w:pPr>
            <w:r w:rsidRPr="00082FA3">
              <w:rPr>
                <w:rFonts w:cs="Calibri Light"/>
                <w:sz w:val="18"/>
                <w:szCs w:val="18"/>
                <w:lang w:val="sq-AL"/>
              </w:rPr>
              <w:t>Reformimi i legjislacionit për zbatimin e projekteve të përbashkëta (që do të kërkonin aktivitete të lidhura me analizën ligjore)</w:t>
            </w:r>
          </w:p>
        </w:tc>
        <w:tc>
          <w:tcPr>
            <w:tcW w:w="3383" w:type="dxa"/>
          </w:tcPr>
          <w:p w14:paraId="5D02869F" w14:textId="68F2EE85" w:rsidR="00E05A4F" w:rsidRPr="00082FA3" w:rsidRDefault="00CC143F" w:rsidP="00CC143F">
            <w:pPr>
              <w:jc w:val="left"/>
              <w:rPr>
                <w:rFonts w:cs="Calibri Light"/>
                <w:sz w:val="18"/>
                <w:szCs w:val="18"/>
                <w:lang w:val="sq-AL"/>
              </w:rPr>
            </w:pPr>
            <w:r w:rsidRPr="00082FA3">
              <w:rPr>
                <w:rFonts w:cs="Calibri Light"/>
                <w:sz w:val="18"/>
                <w:szCs w:val="18"/>
                <w:lang w:val="sq-AL"/>
              </w:rPr>
              <w:t>Analiza ligjore duhet të finalizohet dhe të krijohet sistemi i shërbimeve kontraktuese</w:t>
            </w:r>
          </w:p>
        </w:tc>
      </w:tr>
      <w:tr w:rsidR="00E05A4F" w:rsidRPr="00082FA3" w14:paraId="7E0B6AA6" w14:textId="77777777" w:rsidTr="00B958A1">
        <w:trPr>
          <w:trHeight w:val="476"/>
        </w:trPr>
        <w:tc>
          <w:tcPr>
            <w:tcW w:w="708" w:type="dxa"/>
            <w:shd w:val="clear" w:color="auto" w:fill="F2F2F2" w:themeFill="background1" w:themeFillShade="F2"/>
          </w:tcPr>
          <w:p w14:paraId="46645C3F" w14:textId="77777777" w:rsidR="00E05A4F" w:rsidRPr="00082FA3" w:rsidRDefault="00E05A4F"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91008" behindDoc="0" locked="0" layoutInCell="1" allowOverlap="1" wp14:anchorId="0B654B8F" wp14:editId="4810538A">
                      <wp:simplePos x="0" y="0"/>
                      <wp:positionH relativeFrom="column">
                        <wp:posOffset>54610</wp:posOffset>
                      </wp:positionH>
                      <wp:positionV relativeFrom="paragraph">
                        <wp:posOffset>45085</wp:posOffset>
                      </wp:positionV>
                      <wp:extent cx="236220" cy="228600"/>
                      <wp:effectExtent l="0" t="0" r="11430" b="19050"/>
                      <wp:wrapNone/>
                      <wp:docPr id="18" name="Flowchart: Connector 18"/>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03AE26" id="Flowchart: Connector 18" o:spid="_x0000_s1026" type="#_x0000_t120" style="position:absolute;margin-left:4.3pt;margin-top:3.55pt;width:18.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" fillcolor="red" strokecolor="#7f7f7f [1612]" strokeweight="2pt"/>
                  </w:pict>
                </mc:Fallback>
              </mc:AlternateContent>
            </w:r>
          </w:p>
        </w:tc>
        <w:tc>
          <w:tcPr>
            <w:tcW w:w="4994" w:type="dxa"/>
          </w:tcPr>
          <w:p w14:paraId="1333C33E" w14:textId="7D1F6876" w:rsidR="00E05A4F" w:rsidRPr="00082FA3" w:rsidRDefault="00CC143F" w:rsidP="00B958A1">
            <w:pPr>
              <w:rPr>
                <w:rFonts w:cs="Calibri Light"/>
                <w:sz w:val="18"/>
                <w:szCs w:val="18"/>
                <w:lang w:val="sq-AL"/>
              </w:rPr>
            </w:pPr>
            <w:r w:rsidRPr="00082FA3">
              <w:rPr>
                <w:rFonts w:cs="Calibri Light"/>
                <w:sz w:val="18"/>
                <w:szCs w:val="18"/>
                <w:lang w:val="sq-AL"/>
              </w:rPr>
              <w:t>Krijimi i një ambienti të favorshëm për filantropinë dhe sponsorizimin</w:t>
            </w:r>
          </w:p>
        </w:tc>
        <w:tc>
          <w:tcPr>
            <w:tcW w:w="3383" w:type="dxa"/>
          </w:tcPr>
          <w:p w14:paraId="43D5D9A5" w14:textId="1E461AB9" w:rsidR="00E05A4F" w:rsidRPr="00082FA3" w:rsidRDefault="00CC143F" w:rsidP="00B958A1">
            <w:pPr>
              <w:rPr>
                <w:rFonts w:cs="Calibri Light"/>
                <w:sz w:val="18"/>
                <w:szCs w:val="18"/>
                <w:lang w:val="sq-AL"/>
              </w:rPr>
            </w:pPr>
            <w:r w:rsidRPr="00082FA3">
              <w:rPr>
                <w:rFonts w:cs="Calibri Light"/>
                <w:sz w:val="18"/>
                <w:szCs w:val="18"/>
                <w:lang w:val="sq-AL"/>
              </w:rPr>
              <w:t>Ligji është miratuar dhe implementuar për filantropi dhe sponsorizim</w:t>
            </w:r>
          </w:p>
        </w:tc>
      </w:tr>
      <w:tr w:rsidR="00E05A4F" w:rsidRPr="00082FA3" w14:paraId="6FC8C418" w14:textId="77777777" w:rsidTr="00B958A1">
        <w:trPr>
          <w:trHeight w:val="488"/>
        </w:trPr>
        <w:tc>
          <w:tcPr>
            <w:tcW w:w="708" w:type="dxa"/>
            <w:shd w:val="clear" w:color="auto" w:fill="F2F2F2" w:themeFill="background1" w:themeFillShade="F2"/>
          </w:tcPr>
          <w:p w14:paraId="17076F19" w14:textId="77777777" w:rsidR="00E05A4F" w:rsidRPr="00082FA3" w:rsidRDefault="00E05A4F" w:rsidP="00B958A1">
            <w:pPr>
              <w:jc w:val="center"/>
              <w:rPr>
                <w:rFonts w:cs="Calibri Light"/>
                <w:sz w:val="18"/>
                <w:szCs w:val="18"/>
                <w:lang w:val="sq-AL"/>
              </w:rPr>
            </w:pPr>
            <w:r w:rsidRPr="00082FA3">
              <w:rPr>
                <w:rFonts w:cs="Calibri Light"/>
                <w:noProof/>
                <w:sz w:val="18"/>
                <w:szCs w:val="18"/>
                <w:lang w:val="en-US"/>
              </w:rPr>
              <w:lastRenderedPageBreak/>
              <mc:AlternateContent>
                <mc:Choice Requires="wps">
                  <w:drawing>
                    <wp:anchor distT="0" distB="0" distL="114300" distR="114300" simplePos="0" relativeHeight="251692032" behindDoc="0" locked="0" layoutInCell="1" allowOverlap="1" wp14:anchorId="35619D84" wp14:editId="1A389EB1">
                      <wp:simplePos x="0" y="0"/>
                      <wp:positionH relativeFrom="column">
                        <wp:posOffset>54610</wp:posOffset>
                      </wp:positionH>
                      <wp:positionV relativeFrom="paragraph">
                        <wp:posOffset>46990</wp:posOffset>
                      </wp:positionV>
                      <wp:extent cx="236220" cy="228600"/>
                      <wp:effectExtent l="0" t="0" r="11430" b="19050"/>
                      <wp:wrapNone/>
                      <wp:docPr id="19" name="Flowchart: Connector 19"/>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C6C38B" id="Flowchart: Connector 19" o:spid="_x0000_s1026" type="#_x0000_t120" style="position:absolute;margin-left:4.3pt;margin-top:3.7pt;width:18.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" fillcolor="red" strokecolor="#7f7f7f [1612]" strokeweight="2pt"/>
                  </w:pict>
                </mc:Fallback>
              </mc:AlternateContent>
            </w:r>
          </w:p>
        </w:tc>
        <w:tc>
          <w:tcPr>
            <w:tcW w:w="4994" w:type="dxa"/>
          </w:tcPr>
          <w:p w14:paraId="133DD140" w14:textId="249413DC" w:rsidR="00E05A4F" w:rsidRPr="00082FA3" w:rsidRDefault="00CC143F" w:rsidP="00B958A1">
            <w:pPr>
              <w:rPr>
                <w:rFonts w:cs="Calibri Light"/>
                <w:sz w:val="18"/>
                <w:szCs w:val="18"/>
                <w:lang w:val="sq-AL"/>
              </w:rPr>
            </w:pPr>
            <w:r w:rsidRPr="00082FA3">
              <w:rPr>
                <w:rFonts w:cs="Calibri Light"/>
                <w:sz w:val="18"/>
                <w:szCs w:val="18"/>
                <w:lang w:val="sq-AL"/>
              </w:rPr>
              <w:t>Standardizimi i Statusit të Përfituesit Publik (SPP) (në Ligjin për Lirinë e Asocimit të OJQ-ve)</w:t>
            </w:r>
          </w:p>
        </w:tc>
        <w:tc>
          <w:tcPr>
            <w:tcW w:w="3383" w:type="dxa"/>
          </w:tcPr>
          <w:p w14:paraId="45913C72" w14:textId="235EAC37" w:rsidR="00E05A4F" w:rsidRPr="00082FA3" w:rsidRDefault="00CC143F" w:rsidP="00B958A1">
            <w:pPr>
              <w:rPr>
                <w:rFonts w:cs="Calibri Light"/>
                <w:sz w:val="18"/>
                <w:szCs w:val="18"/>
                <w:lang w:val="sq-AL"/>
              </w:rPr>
            </w:pPr>
            <w:r w:rsidRPr="00082FA3">
              <w:rPr>
                <w:rFonts w:cs="Calibri Light"/>
                <w:sz w:val="18"/>
                <w:szCs w:val="18"/>
                <w:lang w:val="sq-AL"/>
              </w:rPr>
              <w:t>SPP është ndryshuar për të mbuluar më shumë sektorë dhe përfitues nga shoqëria civile</w:t>
            </w:r>
          </w:p>
        </w:tc>
      </w:tr>
      <w:tr w:rsidR="00E05A4F" w:rsidRPr="00082FA3" w14:paraId="554F9B4E" w14:textId="77777777" w:rsidTr="00B958A1">
        <w:trPr>
          <w:trHeight w:val="488"/>
        </w:trPr>
        <w:tc>
          <w:tcPr>
            <w:tcW w:w="708" w:type="dxa"/>
            <w:shd w:val="clear" w:color="auto" w:fill="F2F2F2" w:themeFill="background1" w:themeFillShade="F2"/>
          </w:tcPr>
          <w:p w14:paraId="0417AF07" w14:textId="77777777" w:rsidR="00E05A4F" w:rsidRPr="00082FA3" w:rsidRDefault="00E05A4F"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93056" behindDoc="0" locked="0" layoutInCell="1" allowOverlap="1" wp14:anchorId="686562DA" wp14:editId="02415F97">
                      <wp:simplePos x="0" y="0"/>
                      <wp:positionH relativeFrom="column">
                        <wp:posOffset>57785</wp:posOffset>
                      </wp:positionH>
                      <wp:positionV relativeFrom="paragraph">
                        <wp:posOffset>45720</wp:posOffset>
                      </wp:positionV>
                      <wp:extent cx="236220" cy="228600"/>
                      <wp:effectExtent l="0" t="0" r="11430" b="19050"/>
                      <wp:wrapNone/>
                      <wp:docPr id="20" name="Flowchart: Connector 20"/>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608F8E" id="Flowchart: Connector 20" o:spid="_x0000_s1026" type="#_x0000_t120" style="position:absolute;margin-left:4.55pt;margin-top:3.6pt;width:18.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" fillcolor="yellow" strokecolor="#7f7f7f [1612]" strokeweight="2pt"/>
                  </w:pict>
                </mc:Fallback>
              </mc:AlternateContent>
            </w:r>
          </w:p>
        </w:tc>
        <w:tc>
          <w:tcPr>
            <w:tcW w:w="4994" w:type="dxa"/>
          </w:tcPr>
          <w:p w14:paraId="1BA25F03" w14:textId="0EFA3471" w:rsidR="00E05A4F" w:rsidRPr="00082FA3" w:rsidRDefault="00CC143F" w:rsidP="00B958A1">
            <w:pPr>
              <w:rPr>
                <w:rFonts w:cs="Calibri Light"/>
                <w:sz w:val="18"/>
                <w:szCs w:val="18"/>
                <w:lang w:val="sq-AL"/>
              </w:rPr>
            </w:pPr>
            <w:r w:rsidRPr="00082FA3">
              <w:rPr>
                <w:rFonts w:cs="Calibri Light"/>
                <w:sz w:val="18"/>
                <w:szCs w:val="18"/>
                <w:lang w:val="sq-AL"/>
              </w:rPr>
              <w:t>Përfshirja e organizatave të shoqërisë civile (OShC-ve) në mekanizmat e koordinimit të donatorëve</w:t>
            </w:r>
          </w:p>
        </w:tc>
        <w:tc>
          <w:tcPr>
            <w:tcW w:w="3383" w:type="dxa"/>
          </w:tcPr>
          <w:p w14:paraId="3F23A3CC" w14:textId="3373758E" w:rsidR="00E05A4F" w:rsidRPr="00082FA3" w:rsidRDefault="00CC143F" w:rsidP="00B958A1">
            <w:pPr>
              <w:rPr>
                <w:rFonts w:cs="Calibri Light"/>
                <w:sz w:val="18"/>
                <w:szCs w:val="18"/>
                <w:lang w:val="sq-AL"/>
              </w:rPr>
            </w:pPr>
            <w:r w:rsidRPr="00082FA3">
              <w:rPr>
                <w:rFonts w:cs="Calibri Light"/>
                <w:sz w:val="18"/>
                <w:szCs w:val="18"/>
                <w:lang w:val="sq-AL"/>
              </w:rPr>
              <w:t>Baza e të dhënave e donatorëve është vënë në dispozicion për të siguruar koordinim me shoqërinë civile</w:t>
            </w:r>
          </w:p>
        </w:tc>
      </w:tr>
      <w:tr w:rsidR="00E05A4F" w:rsidRPr="00082FA3" w14:paraId="4CB24C99" w14:textId="77777777" w:rsidTr="00B958A1">
        <w:trPr>
          <w:trHeight w:val="488"/>
        </w:trPr>
        <w:tc>
          <w:tcPr>
            <w:tcW w:w="708" w:type="dxa"/>
            <w:shd w:val="clear" w:color="auto" w:fill="F2F2F2" w:themeFill="background1" w:themeFillShade="F2"/>
          </w:tcPr>
          <w:p w14:paraId="6A05E323" w14:textId="77777777" w:rsidR="00E05A4F" w:rsidRPr="00082FA3" w:rsidRDefault="00E05A4F"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94080" behindDoc="0" locked="0" layoutInCell="1" allowOverlap="1" wp14:anchorId="2DB65202" wp14:editId="637EF1C0">
                      <wp:simplePos x="0" y="0"/>
                      <wp:positionH relativeFrom="column">
                        <wp:posOffset>54610</wp:posOffset>
                      </wp:positionH>
                      <wp:positionV relativeFrom="paragraph">
                        <wp:posOffset>45085</wp:posOffset>
                      </wp:positionV>
                      <wp:extent cx="236220" cy="228600"/>
                      <wp:effectExtent l="0" t="0" r="11430" b="19050"/>
                      <wp:wrapNone/>
                      <wp:docPr id="21" name="Flowchart: Connector 21"/>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FFEBB3" id="Flowchart: Connector 21" o:spid="_x0000_s1026" type="#_x0000_t120" style="position:absolute;margin-left:4.3pt;margin-top:3.55pt;width:18.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" fillcolor="#92d050" strokecolor="#7f7f7f [1612]" strokeweight="2pt"/>
                  </w:pict>
                </mc:Fallback>
              </mc:AlternateContent>
            </w:r>
          </w:p>
        </w:tc>
        <w:tc>
          <w:tcPr>
            <w:tcW w:w="4994" w:type="dxa"/>
          </w:tcPr>
          <w:p w14:paraId="7EE7B3D1" w14:textId="3143EE05" w:rsidR="00E05A4F" w:rsidRPr="00082FA3" w:rsidRDefault="00CC143F" w:rsidP="00B958A1">
            <w:pPr>
              <w:rPr>
                <w:rFonts w:cs="Calibri Light"/>
                <w:sz w:val="18"/>
                <w:szCs w:val="18"/>
                <w:lang w:val="sq-AL"/>
              </w:rPr>
            </w:pPr>
            <w:r w:rsidRPr="00082FA3">
              <w:rPr>
                <w:rFonts w:cs="Calibri Light"/>
                <w:sz w:val="18"/>
                <w:szCs w:val="18"/>
                <w:lang w:val="sq-AL"/>
              </w:rPr>
              <w:t xml:space="preserve">Përcaktimi i kritereve për dhënie dhe implementim të </w:t>
            </w:r>
            <w:r w:rsidR="00954620" w:rsidRPr="00082FA3">
              <w:rPr>
                <w:rFonts w:cs="Calibri Light"/>
                <w:sz w:val="18"/>
                <w:szCs w:val="18"/>
                <w:lang w:val="sq-AL"/>
              </w:rPr>
              <w:t>garantëve</w:t>
            </w:r>
            <w:r w:rsidRPr="00082FA3">
              <w:rPr>
                <w:rFonts w:cs="Calibri Light"/>
                <w:sz w:val="18"/>
                <w:szCs w:val="18"/>
                <w:lang w:val="sq-AL"/>
              </w:rPr>
              <w:t xml:space="preserve"> të marra nga fondet publike</w:t>
            </w:r>
          </w:p>
        </w:tc>
        <w:tc>
          <w:tcPr>
            <w:tcW w:w="3383" w:type="dxa"/>
          </w:tcPr>
          <w:p w14:paraId="19EA4DAB" w14:textId="09656CFD" w:rsidR="00E05A4F" w:rsidRPr="00082FA3" w:rsidRDefault="00CC143F" w:rsidP="00B958A1">
            <w:pPr>
              <w:rPr>
                <w:rFonts w:cs="Calibri Light"/>
                <w:sz w:val="18"/>
                <w:szCs w:val="18"/>
                <w:lang w:val="sq-AL"/>
              </w:rPr>
            </w:pPr>
            <w:r w:rsidRPr="00082FA3">
              <w:rPr>
                <w:rFonts w:cs="Calibri Light"/>
                <w:sz w:val="18"/>
                <w:szCs w:val="18"/>
                <w:lang w:val="sq-AL"/>
              </w:rPr>
              <w:t>Rregullorja duhet të vihet në efekt më të madh dhe të përdoret nga institucionet</w:t>
            </w:r>
          </w:p>
        </w:tc>
      </w:tr>
      <w:tr w:rsidR="00E05A4F" w:rsidRPr="00082FA3" w14:paraId="3259467B" w14:textId="77777777" w:rsidTr="00B958A1">
        <w:trPr>
          <w:trHeight w:val="488"/>
        </w:trPr>
        <w:tc>
          <w:tcPr>
            <w:tcW w:w="708" w:type="dxa"/>
            <w:shd w:val="clear" w:color="auto" w:fill="F2F2F2" w:themeFill="background1" w:themeFillShade="F2"/>
          </w:tcPr>
          <w:p w14:paraId="6F315B40" w14:textId="77777777" w:rsidR="00E05A4F" w:rsidRPr="00082FA3" w:rsidRDefault="00E05A4F"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95104" behindDoc="0" locked="0" layoutInCell="1" allowOverlap="1" wp14:anchorId="0E018A94" wp14:editId="6C2DFBBF">
                      <wp:simplePos x="0" y="0"/>
                      <wp:positionH relativeFrom="column">
                        <wp:posOffset>49530</wp:posOffset>
                      </wp:positionH>
                      <wp:positionV relativeFrom="paragraph">
                        <wp:posOffset>23495</wp:posOffset>
                      </wp:positionV>
                      <wp:extent cx="236220" cy="228600"/>
                      <wp:effectExtent l="0" t="0" r="11430" b="19050"/>
                      <wp:wrapNone/>
                      <wp:docPr id="22" name="Flowchart: Connector 22"/>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A88627" id="Flowchart: Connector 22" o:spid="_x0000_s1026" type="#_x0000_t120" style="position:absolute;margin-left:3.9pt;margin-top:1.85pt;width:18.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" fillcolor="red" strokecolor="#7f7f7f [1612]" strokeweight="2pt"/>
                  </w:pict>
                </mc:Fallback>
              </mc:AlternateContent>
            </w:r>
          </w:p>
        </w:tc>
        <w:tc>
          <w:tcPr>
            <w:tcW w:w="4994" w:type="dxa"/>
          </w:tcPr>
          <w:p w14:paraId="5386A600" w14:textId="24F1F1D2" w:rsidR="00E05A4F" w:rsidRPr="00082FA3" w:rsidRDefault="004A686A" w:rsidP="00B958A1">
            <w:pPr>
              <w:rPr>
                <w:rFonts w:cs="Calibri Light"/>
                <w:sz w:val="18"/>
                <w:szCs w:val="18"/>
                <w:lang w:val="sq-AL"/>
              </w:rPr>
            </w:pPr>
            <w:r w:rsidRPr="00082FA3">
              <w:rPr>
                <w:rFonts w:cs="Calibri Light"/>
                <w:sz w:val="18"/>
                <w:szCs w:val="18"/>
                <w:lang w:val="sq-AL"/>
              </w:rPr>
              <w:t xml:space="preserve">Përcaktimi i kritereve për mbështetjen </w:t>
            </w:r>
            <w:r w:rsidR="00954620" w:rsidRPr="00082FA3">
              <w:rPr>
                <w:rFonts w:cs="Calibri Light"/>
                <w:sz w:val="18"/>
                <w:szCs w:val="18"/>
                <w:lang w:val="sq-AL"/>
              </w:rPr>
              <w:t>jo financiare</w:t>
            </w:r>
            <w:r w:rsidRPr="00082FA3">
              <w:rPr>
                <w:rFonts w:cs="Calibri Light"/>
                <w:sz w:val="18"/>
                <w:szCs w:val="18"/>
                <w:lang w:val="sq-AL"/>
              </w:rPr>
              <w:t xml:space="preserve"> për organizatat e shoqërisë civile (OShC)</w:t>
            </w:r>
          </w:p>
        </w:tc>
        <w:tc>
          <w:tcPr>
            <w:tcW w:w="3383" w:type="dxa"/>
          </w:tcPr>
          <w:p w14:paraId="6F9B42A9" w14:textId="22DF3DA0" w:rsidR="00E05A4F" w:rsidRPr="00082FA3" w:rsidRDefault="004A686A" w:rsidP="004A686A">
            <w:pPr>
              <w:jc w:val="left"/>
              <w:rPr>
                <w:rFonts w:cs="Calibri Light"/>
                <w:sz w:val="18"/>
                <w:szCs w:val="18"/>
                <w:lang w:val="sq-AL"/>
              </w:rPr>
            </w:pPr>
            <w:r w:rsidRPr="00082FA3">
              <w:rPr>
                <w:rFonts w:cs="Calibri Light"/>
                <w:sz w:val="18"/>
                <w:szCs w:val="18"/>
                <w:lang w:val="sq-AL"/>
              </w:rPr>
              <w:t>Rregullorja e re duhet të rregullojë mbështetjen jofinanciare të dhënë për OSHC-të</w:t>
            </w:r>
          </w:p>
        </w:tc>
      </w:tr>
    </w:tbl>
    <w:p w14:paraId="35B9C9B2" w14:textId="77777777" w:rsidR="002C70EF" w:rsidRPr="00082FA3" w:rsidRDefault="002C70EF" w:rsidP="00E05A4F">
      <w:pPr>
        <w:rPr>
          <w:lang w:val="sq-AL"/>
        </w:rPr>
      </w:pPr>
    </w:p>
    <w:p w14:paraId="274C09AF" w14:textId="0CF0CBDD" w:rsidR="00FC54A2" w:rsidRDefault="004A686A" w:rsidP="00BF0239">
      <w:pPr>
        <w:rPr>
          <w:lang w:val="sq-AL"/>
        </w:rPr>
      </w:pPr>
      <w:r w:rsidRPr="00082FA3">
        <w:rPr>
          <w:b/>
          <w:lang w:val="sq-AL"/>
        </w:rPr>
        <w:t xml:space="preserve">Çfarë nuk është arritur? </w:t>
      </w:r>
      <w:r w:rsidRPr="00082FA3">
        <w:rPr>
          <w:lang w:val="sq-AL"/>
        </w:rPr>
        <w:t xml:space="preserve">Nën-objektivi për përcaktimin e kritereve për dhënien e </w:t>
      </w:r>
      <w:r w:rsidR="00954620" w:rsidRPr="00082FA3">
        <w:rPr>
          <w:lang w:val="sq-AL"/>
        </w:rPr>
        <w:t>garantëve</w:t>
      </w:r>
      <w:r w:rsidRPr="00082FA3">
        <w:rPr>
          <w:lang w:val="sq-AL"/>
        </w:rPr>
        <w:t xml:space="preserve"> qeveritare për shoqërinë civile është ndoshta më i arritshmi. </w:t>
      </w:r>
      <w:r w:rsidR="008C371F" w:rsidRPr="00082FA3">
        <w:rPr>
          <w:lang w:val="sq-AL"/>
        </w:rPr>
        <w:t>Koncept d</w:t>
      </w:r>
      <w:r w:rsidRPr="00082FA3">
        <w:rPr>
          <w:lang w:val="sq-AL"/>
        </w:rPr>
        <w:t xml:space="preserve">okumenti </w:t>
      </w:r>
      <w:r w:rsidR="008C371F" w:rsidRPr="00082FA3">
        <w:rPr>
          <w:lang w:val="sq-AL"/>
        </w:rPr>
        <w:t>për filantropi</w:t>
      </w:r>
      <w:r w:rsidRPr="00082FA3">
        <w:rPr>
          <w:lang w:val="sq-AL"/>
        </w:rPr>
        <w:t xml:space="preserve"> dhe sponsorizim dhe Ligji për lirinë e asociimit në OJQ janë gjysmë të përfunduara dhe ende nuk janë aprovuar nga qeveria në mënyrë që Strategjia të arrijë sukses të plotë. </w:t>
      </w:r>
      <w:r w:rsidR="008C371F" w:rsidRPr="00082FA3">
        <w:rPr>
          <w:lang w:val="sq-AL"/>
        </w:rPr>
        <w:t>SPP</w:t>
      </w:r>
      <w:r w:rsidRPr="00082FA3">
        <w:rPr>
          <w:lang w:val="sq-AL"/>
        </w:rPr>
        <w:t xml:space="preserve"> tashmë është rishikuar dhe do të mbulojë më shumë sektorë të shoqërisë civile për OJQ-të që të kenë të drejtën për të </w:t>
      </w:r>
      <w:r w:rsidR="008C371F" w:rsidRPr="00082FA3">
        <w:rPr>
          <w:lang w:val="sq-AL"/>
        </w:rPr>
        <w:t>përfituar lehtësira</w:t>
      </w:r>
      <w:r w:rsidRPr="00082FA3">
        <w:rPr>
          <w:lang w:val="sq-AL"/>
        </w:rPr>
        <w:t xml:space="preserve"> fiskal</w:t>
      </w:r>
      <w:r w:rsidR="008C371F" w:rsidRPr="00082FA3">
        <w:rPr>
          <w:lang w:val="sq-AL"/>
        </w:rPr>
        <w:t>e / tatimore të garantuara nga SPP</w:t>
      </w:r>
      <w:r w:rsidRPr="00082FA3">
        <w:rPr>
          <w:lang w:val="sq-AL"/>
        </w:rPr>
        <w:t>, me kusht që ato të respektojnë Ligjin. Baza e të dhënave të donatorëve duhet të konsolidohet në mënyrë që të ketë të dhëna të sakta për fondet që i ofrohen shoqërisë civile. Përveç kësaj, duhet</w:t>
      </w:r>
      <w:r w:rsidR="008C371F" w:rsidRPr="00082FA3">
        <w:rPr>
          <w:lang w:val="sq-AL"/>
        </w:rPr>
        <w:t xml:space="preserve"> të ketë një vendim të politikave</w:t>
      </w:r>
      <w:r w:rsidRPr="00082FA3">
        <w:rPr>
          <w:lang w:val="sq-AL"/>
        </w:rPr>
        <w:t xml:space="preserve"> për qeverinë që të marrë përgjegjësinë për krijimin e një skeme automatike të bashkëfinancimit për përfituesit e shoqërisë civile të </w:t>
      </w:r>
      <w:r w:rsidR="00954620" w:rsidRPr="00082FA3">
        <w:rPr>
          <w:lang w:val="sq-AL"/>
        </w:rPr>
        <w:t>garantëve</w:t>
      </w:r>
      <w:r w:rsidRPr="00082FA3">
        <w:rPr>
          <w:lang w:val="sq-AL"/>
        </w:rPr>
        <w:t xml:space="preserve"> të siguruara nga Komisioni Evropian (KE). Përkundër faktit se është miratuar Rregullorja për Kriteret, Standardet dhe Procedurat për Financimin Publik të OJQ-ve, nuk është bërë akoma një anal</w:t>
      </w:r>
      <w:r w:rsidR="00CB6D1F" w:rsidRPr="00082FA3">
        <w:rPr>
          <w:lang w:val="sq-AL"/>
        </w:rPr>
        <w:t>izë ligjore se si të rregullohet mbështetja</w:t>
      </w:r>
      <w:r w:rsidRPr="00082FA3">
        <w:rPr>
          <w:lang w:val="sq-AL"/>
        </w:rPr>
        <w:t xml:space="preserve"> jofinanciare që fitojnë </w:t>
      </w:r>
      <w:r w:rsidR="00CB6D1F" w:rsidRPr="00082FA3">
        <w:rPr>
          <w:lang w:val="sq-AL"/>
        </w:rPr>
        <w:t xml:space="preserve">OSHC-të </w:t>
      </w:r>
      <w:r w:rsidRPr="00082FA3">
        <w:rPr>
          <w:lang w:val="sq-AL"/>
        </w:rPr>
        <w:t>nga jashtë.</w:t>
      </w:r>
      <w:r w:rsidR="00082FA3">
        <w:rPr>
          <w:lang w:val="sq-AL"/>
        </w:rPr>
        <w:t xml:space="preserve"> </w:t>
      </w:r>
    </w:p>
    <w:p w14:paraId="0CC99D0D" w14:textId="4C604228" w:rsidR="0003605B" w:rsidRDefault="0003605B" w:rsidP="00BF0239">
      <w:pPr>
        <w:rPr>
          <w:lang w:val="sq-AL"/>
        </w:rPr>
      </w:pPr>
    </w:p>
    <w:p w14:paraId="03F333B2" w14:textId="77777777" w:rsidR="0003605B" w:rsidRDefault="0003605B" w:rsidP="0003605B">
      <w:r>
        <w:t xml:space="preserve">The technique used in analzying the problem or complicated issues where all factors seem to be inter-related is breaken down as a </w:t>
      </w:r>
      <w:r w:rsidRPr="008A163F">
        <w:rPr>
          <w:i/>
        </w:rPr>
        <w:t>cause and effect analysis</w:t>
      </w:r>
      <w:r>
        <w:t xml:space="preserve"> as in the following table. </w:t>
      </w:r>
    </w:p>
    <w:p w14:paraId="23D6C543" w14:textId="77777777" w:rsidR="0003605B" w:rsidRPr="0003605B" w:rsidRDefault="0003605B" w:rsidP="00BF0239"/>
    <w:p w14:paraId="00AC3A20" w14:textId="77777777" w:rsidR="00FC54A2" w:rsidRDefault="00FC54A2" w:rsidP="00BF0239">
      <w:pPr>
        <w:rPr>
          <w:rFonts w:cs="Calibri Light"/>
          <w:lang w:val="sq-AL"/>
        </w:rPr>
      </w:pPr>
    </w:p>
    <w:tbl>
      <w:tblPr>
        <w:tblStyle w:val="TableGrid"/>
        <w:tblW w:w="0" w:type="auto"/>
        <w:tblLook w:val="04A0" w:firstRow="1" w:lastRow="0" w:firstColumn="1" w:lastColumn="0" w:noHBand="0" w:noVBand="1"/>
      </w:tblPr>
      <w:tblGrid>
        <w:gridCol w:w="1784"/>
        <w:gridCol w:w="2499"/>
        <w:gridCol w:w="4779"/>
      </w:tblGrid>
      <w:tr w:rsidR="0003605B" w:rsidRPr="0003605B" w14:paraId="00E42D08" w14:textId="77777777" w:rsidTr="0003605B">
        <w:tc>
          <w:tcPr>
            <w:tcW w:w="1784" w:type="dxa"/>
            <w:vMerge w:val="restart"/>
          </w:tcPr>
          <w:p w14:paraId="18E1C1C3" w14:textId="77777777" w:rsidR="0003605B" w:rsidRPr="0003605B" w:rsidRDefault="0003605B" w:rsidP="0003605B">
            <w:pPr>
              <w:rPr>
                <w:rFonts w:cs="Calibri Light"/>
                <w:b/>
                <w:lang w:val="sq-AL"/>
              </w:rPr>
            </w:pPr>
            <w:bookmarkStart w:id="17" w:name="_Hlk500618415"/>
          </w:p>
          <w:p w14:paraId="27D30738" w14:textId="77777777" w:rsidR="0003605B" w:rsidRPr="0003605B" w:rsidRDefault="0003605B" w:rsidP="0003605B">
            <w:pPr>
              <w:rPr>
                <w:rFonts w:cs="Calibri Light"/>
                <w:b/>
                <w:lang w:val="sq-AL"/>
              </w:rPr>
            </w:pPr>
          </w:p>
          <w:p w14:paraId="65C8BDB7" w14:textId="77777777" w:rsidR="0003605B" w:rsidRPr="0003605B" w:rsidRDefault="0003605B" w:rsidP="0003605B">
            <w:pPr>
              <w:rPr>
                <w:rFonts w:cs="Calibri Light"/>
                <w:b/>
                <w:lang w:val="sq-AL"/>
              </w:rPr>
            </w:pPr>
          </w:p>
          <w:p w14:paraId="61231588" w14:textId="77777777" w:rsidR="0003605B" w:rsidRPr="0003605B" w:rsidRDefault="0003605B" w:rsidP="0003605B">
            <w:pPr>
              <w:rPr>
                <w:rFonts w:cs="Calibri Light"/>
                <w:b/>
                <w:lang w:val="sq-AL"/>
              </w:rPr>
            </w:pPr>
          </w:p>
          <w:p w14:paraId="19FDEC82" w14:textId="77777777" w:rsidR="0003605B" w:rsidRPr="0003605B" w:rsidRDefault="0003605B" w:rsidP="0003605B">
            <w:pPr>
              <w:rPr>
                <w:rFonts w:cs="Calibri Light"/>
                <w:b/>
                <w:lang w:val="sq-AL"/>
              </w:rPr>
            </w:pPr>
          </w:p>
          <w:p w14:paraId="3D66F27F" w14:textId="77777777" w:rsidR="0003605B" w:rsidRPr="0003605B" w:rsidRDefault="0003605B" w:rsidP="0003605B">
            <w:pPr>
              <w:rPr>
                <w:rFonts w:cs="Calibri Light"/>
                <w:b/>
                <w:lang w:val="sq-AL"/>
              </w:rPr>
            </w:pPr>
          </w:p>
          <w:p w14:paraId="3171BF9D" w14:textId="77777777" w:rsidR="0003605B" w:rsidRPr="0003605B" w:rsidRDefault="0003605B" w:rsidP="0003605B">
            <w:pPr>
              <w:rPr>
                <w:rFonts w:cs="Calibri Light"/>
                <w:b/>
                <w:lang w:val="sq-AL"/>
              </w:rPr>
            </w:pPr>
          </w:p>
          <w:p w14:paraId="73D0BCD4" w14:textId="77777777" w:rsidR="0003605B" w:rsidRPr="0003605B" w:rsidRDefault="0003605B" w:rsidP="0003605B">
            <w:pPr>
              <w:rPr>
                <w:rFonts w:cs="Calibri Light"/>
                <w:b/>
                <w:lang w:val="sq-AL"/>
              </w:rPr>
            </w:pPr>
          </w:p>
          <w:p w14:paraId="29E90635" w14:textId="77777777" w:rsidR="0003605B" w:rsidRPr="0003605B" w:rsidRDefault="0003605B" w:rsidP="0003605B">
            <w:pPr>
              <w:rPr>
                <w:rFonts w:cs="Calibri Light"/>
                <w:b/>
                <w:lang w:val="sq-AL"/>
              </w:rPr>
            </w:pPr>
          </w:p>
          <w:p w14:paraId="6B9FD606" w14:textId="77777777" w:rsidR="0003605B" w:rsidRPr="0003605B" w:rsidRDefault="0003605B" w:rsidP="0003605B">
            <w:pPr>
              <w:rPr>
                <w:rFonts w:cs="Calibri Light"/>
                <w:b/>
                <w:lang w:val="sq-AL"/>
              </w:rPr>
            </w:pPr>
          </w:p>
          <w:p w14:paraId="6DE29BEA" w14:textId="77777777" w:rsidR="0003605B" w:rsidRPr="0003605B" w:rsidRDefault="0003605B" w:rsidP="0003605B">
            <w:pPr>
              <w:rPr>
                <w:rFonts w:cs="Calibri Light"/>
                <w:b/>
                <w:lang w:val="sq-AL"/>
              </w:rPr>
            </w:pPr>
          </w:p>
          <w:p w14:paraId="2984440A" w14:textId="77777777" w:rsidR="0003605B" w:rsidRPr="0003605B" w:rsidRDefault="0003605B" w:rsidP="0003605B">
            <w:pPr>
              <w:rPr>
                <w:rFonts w:cs="Calibri Light"/>
                <w:b/>
                <w:lang w:val="sq-AL"/>
              </w:rPr>
            </w:pPr>
          </w:p>
          <w:p w14:paraId="5232F9FD" w14:textId="77777777" w:rsidR="0003605B" w:rsidRPr="0003605B" w:rsidRDefault="0003605B" w:rsidP="0003605B">
            <w:pPr>
              <w:rPr>
                <w:rFonts w:cs="Calibri Light"/>
                <w:b/>
                <w:lang w:val="sq-AL"/>
              </w:rPr>
            </w:pPr>
          </w:p>
          <w:p w14:paraId="08AD4E42" w14:textId="77777777" w:rsidR="0003605B" w:rsidRPr="0003605B" w:rsidRDefault="0003605B" w:rsidP="0003605B">
            <w:pPr>
              <w:rPr>
                <w:rFonts w:cs="Calibri Light"/>
                <w:b/>
                <w:lang w:val="sq-AL"/>
              </w:rPr>
            </w:pPr>
          </w:p>
          <w:p w14:paraId="7B9FEA4D" w14:textId="77777777" w:rsidR="0003605B" w:rsidRPr="0003605B" w:rsidRDefault="0003605B" w:rsidP="0003605B">
            <w:pPr>
              <w:rPr>
                <w:rFonts w:cs="Calibri Light"/>
                <w:b/>
                <w:lang w:val="sq-AL"/>
              </w:rPr>
            </w:pPr>
          </w:p>
          <w:p w14:paraId="40EC923F" w14:textId="77777777" w:rsidR="0003605B" w:rsidRPr="0003605B" w:rsidRDefault="0003605B" w:rsidP="0003605B">
            <w:pPr>
              <w:rPr>
                <w:rFonts w:cs="Calibri Light"/>
                <w:b/>
                <w:lang w:val="sq-AL"/>
              </w:rPr>
            </w:pPr>
          </w:p>
          <w:p w14:paraId="4EB3418B" w14:textId="77777777" w:rsidR="0003605B" w:rsidRPr="0003605B" w:rsidRDefault="0003605B" w:rsidP="0003605B">
            <w:pPr>
              <w:rPr>
                <w:rFonts w:cs="Calibri Light"/>
                <w:b/>
                <w:lang w:val="sq-AL"/>
              </w:rPr>
            </w:pPr>
          </w:p>
          <w:p w14:paraId="4DE65659" w14:textId="77777777" w:rsidR="0003605B" w:rsidRPr="0003605B" w:rsidRDefault="0003605B" w:rsidP="0003605B">
            <w:pPr>
              <w:rPr>
                <w:rFonts w:cs="Calibri Light"/>
                <w:b/>
                <w:lang w:val="sq-AL"/>
              </w:rPr>
            </w:pPr>
          </w:p>
          <w:p w14:paraId="188B80E8" w14:textId="77777777" w:rsidR="0003605B" w:rsidRPr="0003605B" w:rsidRDefault="0003605B" w:rsidP="0003605B">
            <w:pPr>
              <w:rPr>
                <w:rFonts w:cs="Calibri Light"/>
                <w:b/>
                <w:lang w:val="sq-AL"/>
              </w:rPr>
            </w:pPr>
          </w:p>
          <w:p w14:paraId="3ADCFF53" w14:textId="77777777" w:rsidR="0003605B" w:rsidRPr="0003605B" w:rsidRDefault="0003605B" w:rsidP="0003605B">
            <w:pPr>
              <w:rPr>
                <w:rFonts w:cs="Calibri Light"/>
                <w:b/>
                <w:lang w:val="sq-AL"/>
              </w:rPr>
            </w:pPr>
          </w:p>
          <w:p w14:paraId="4B3BF216" w14:textId="4BDA269B" w:rsidR="0003605B" w:rsidRDefault="0003605B" w:rsidP="0003605B">
            <w:pPr>
              <w:rPr>
                <w:rFonts w:cs="Calibri Light"/>
                <w:b/>
                <w:lang w:val="en-US"/>
              </w:rPr>
            </w:pPr>
            <w:r w:rsidRPr="0003605B">
              <w:rPr>
                <w:rFonts w:cs="Calibri Light"/>
                <w:b/>
                <w:lang w:val="en-US"/>
              </w:rPr>
              <w:t>Problem</w:t>
            </w:r>
            <w:r>
              <w:rPr>
                <w:rFonts w:cs="Calibri Light"/>
                <w:b/>
                <w:lang w:val="en-US"/>
              </w:rPr>
              <w:t>i kryesor</w:t>
            </w:r>
            <w:r w:rsidRPr="0003605B">
              <w:rPr>
                <w:rFonts w:cs="Calibri Light"/>
                <w:b/>
                <w:lang w:val="en-US"/>
              </w:rPr>
              <w:t xml:space="preserve"> </w:t>
            </w:r>
          </w:p>
          <w:p w14:paraId="6C29D44B" w14:textId="77777777" w:rsidR="0003605B" w:rsidRPr="003F4A35" w:rsidRDefault="0003605B" w:rsidP="0003605B">
            <w:pPr>
              <w:jc w:val="center"/>
            </w:pPr>
            <w:r w:rsidRPr="003F4A35">
              <w:t xml:space="preserve">Sistemi i financimit të drejtpërdrejtë dhe </w:t>
            </w:r>
            <w:r w:rsidRPr="003F4A35">
              <w:lastRenderedPageBreak/>
              <w:t>jo drejtpërdrejte te OSHC-ve ende nuk është funksional</w:t>
            </w:r>
          </w:p>
          <w:p w14:paraId="3D8CA829" w14:textId="77777777" w:rsidR="0003605B" w:rsidRPr="0003605B" w:rsidRDefault="0003605B" w:rsidP="0003605B">
            <w:pPr>
              <w:rPr>
                <w:rFonts w:cs="Calibri Light"/>
                <w:b/>
              </w:rPr>
            </w:pPr>
          </w:p>
          <w:p w14:paraId="380F46DF" w14:textId="77777777" w:rsidR="0003605B" w:rsidRPr="0003605B" w:rsidRDefault="0003605B" w:rsidP="0003605B">
            <w:pPr>
              <w:rPr>
                <w:rFonts w:cs="Calibri Light"/>
                <w:lang w:val="en-US"/>
              </w:rPr>
            </w:pPr>
          </w:p>
        </w:tc>
        <w:tc>
          <w:tcPr>
            <w:tcW w:w="2499" w:type="dxa"/>
            <w:vMerge w:val="restart"/>
          </w:tcPr>
          <w:p w14:paraId="3D1E9A5A" w14:textId="35313EB2" w:rsidR="0003605B" w:rsidRPr="0003605B" w:rsidRDefault="0003605B" w:rsidP="0003605B">
            <w:pPr>
              <w:rPr>
                <w:rFonts w:cs="Calibri Light"/>
                <w:b/>
                <w:lang w:val="en-US"/>
              </w:rPr>
            </w:pPr>
            <w:r w:rsidRPr="0003605B">
              <w:rPr>
                <w:rFonts w:cs="Calibri Light"/>
                <w:b/>
                <w:lang w:val="en-US"/>
              </w:rPr>
              <w:lastRenderedPageBreak/>
              <w:t xml:space="preserve">1. </w:t>
            </w:r>
            <w:r>
              <w:rPr>
                <w:rFonts w:cs="Calibri Light"/>
                <w:b/>
                <w:lang w:val="en-US"/>
              </w:rPr>
              <w:t>Shkaku kryesor</w:t>
            </w:r>
            <w:r w:rsidRPr="0003605B">
              <w:rPr>
                <w:rFonts w:cs="Calibri Light"/>
                <w:b/>
                <w:lang w:val="en-US"/>
              </w:rPr>
              <w:t xml:space="preserve">  </w:t>
            </w:r>
          </w:p>
          <w:p w14:paraId="53AEA9CA" w14:textId="6685F97E" w:rsidR="0003605B" w:rsidRPr="0003605B" w:rsidRDefault="0003605B" w:rsidP="0003605B">
            <w:pPr>
              <w:rPr>
                <w:rFonts w:cs="Calibri Light"/>
                <w:lang w:val="en-US"/>
              </w:rPr>
            </w:pPr>
            <w:r w:rsidRPr="0003605B">
              <w:rPr>
                <w:rFonts w:cs="Calibri Light"/>
                <w:lang w:val="en"/>
              </w:rPr>
              <w:t>Mungesa e kapaciteteve në ministritë dhe komunat ose programimi, zbatimi, monitorimi dhe raportimi i fondeve publike për OSHC-të.</w:t>
            </w:r>
          </w:p>
        </w:tc>
        <w:tc>
          <w:tcPr>
            <w:tcW w:w="4779" w:type="dxa"/>
          </w:tcPr>
          <w:p w14:paraId="6EB4978D" w14:textId="50A277DB" w:rsidR="0003605B" w:rsidRPr="0003605B" w:rsidRDefault="0003605B" w:rsidP="0003605B">
            <w:pPr>
              <w:rPr>
                <w:rFonts w:cs="Calibri Light"/>
                <w:b/>
                <w:lang w:val="en-US"/>
              </w:rPr>
            </w:pPr>
            <w:r w:rsidRPr="0003605B">
              <w:rPr>
                <w:rFonts w:cs="Calibri Light"/>
                <w:b/>
                <w:lang w:val="en-US"/>
              </w:rPr>
              <w:t xml:space="preserve">1.1 </w:t>
            </w:r>
            <w:r>
              <w:rPr>
                <w:rFonts w:cs="Calibri Light"/>
                <w:b/>
                <w:lang w:val="en-US"/>
              </w:rPr>
              <w:t>Rrënja e shkakut</w:t>
            </w:r>
            <w:r w:rsidRPr="0003605B">
              <w:rPr>
                <w:rFonts w:cs="Calibri Light"/>
                <w:b/>
                <w:lang w:val="en-US"/>
              </w:rPr>
              <w:t xml:space="preserve"> </w:t>
            </w:r>
          </w:p>
          <w:p w14:paraId="6DAC2A6B" w14:textId="676EC2A6" w:rsidR="0003605B" w:rsidRPr="0003605B" w:rsidRDefault="00E455EB" w:rsidP="0003605B">
            <w:pPr>
              <w:rPr>
                <w:rFonts w:cs="Calibri Light"/>
                <w:lang w:val="en-US"/>
              </w:rPr>
            </w:pPr>
            <w:r w:rsidRPr="00E455EB">
              <w:rPr>
                <w:rFonts w:cs="Calibri Light"/>
                <w:lang w:val="en"/>
              </w:rPr>
              <w:t>Ministritë dhe komunat nuk kanë njohuri për forma të ndryshme të financimit të sektorit të shoqërisë civile.</w:t>
            </w:r>
          </w:p>
        </w:tc>
      </w:tr>
      <w:tr w:rsidR="0003605B" w:rsidRPr="0003605B" w14:paraId="21E44401" w14:textId="77777777" w:rsidTr="0003605B">
        <w:tc>
          <w:tcPr>
            <w:tcW w:w="1784" w:type="dxa"/>
            <w:vMerge/>
          </w:tcPr>
          <w:p w14:paraId="4CA03D95" w14:textId="77777777" w:rsidR="0003605B" w:rsidRPr="0003605B" w:rsidRDefault="0003605B" w:rsidP="0003605B">
            <w:pPr>
              <w:rPr>
                <w:rFonts w:cs="Calibri Light"/>
                <w:lang w:val="en-US"/>
              </w:rPr>
            </w:pPr>
          </w:p>
        </w:tc>
        <w:tc>
          <w:tcPr>
            <w:tcW w:w="2499" w:type="dxa"/>
            <w:vMerge/>
          </w:tcPr>
          <w:p w14:paraId="3A676761" w14:textId="77777777" w:rsidR="0003605B" w:rsidRPr="0003605B" w:rsidRDefault="0003605B" w:rsidP="0003605B">
            <w:pPr>
              <w:rPr>
                <w:rFonts w:cs="Calibri Light"/>
                <w:lang w:val="en-US"/>
              </w:rPr>
            </w:pPr>
          </w:p>
        </w:tc>
        <w:tc>
          <w:tcPr>
            <w:tcW w:w="4779" w:type="dxa"/>
          </w:tcPr>
          <w:p w14:paraId="2BF5C8E9" w14:textId="4B6E9503" w:rsidR="0003605B" w:rsidRPr="0003605B" w:rsidRDefault="0003605B" w:rsidP="0003605B">
            <w:pPr>
              <w:rPr>
                <w:rFonts w:cs="Calibri Light"/>
                <w:b/>
                <w:lang w:val="en-US"/>
              </w:rPr>
            </w:pPr>
            <w:r w:rsidRPr="0003605B">
              <w:rPr>
                <w:rFonts w:cs="Calibri Light"/>
                <w:b/>
                <w:lang w:val="en-US"/>
              </w:rPr>
              <w:t xml:space="preserve">1.2 </w:t>
            </w:r>
            <w:r>
              <w:rPr>
                <w:rFonts w:cs="Calibri Light"/>
                <w:b/>
                <w:lang w:val="en-US"/>
              </w:rPr>
              <w:t>Rrënja e shkakut</w:t>
            </w:r>
            <w:r w:rsidRPr="0003605B">
              <w:rPr>
                <w:rFonts w:cs="Calibri Light"/>
                <w:b/>
                <w:lang w:val="en-US"/>
              </w:rPr>
              <w:t xml:space="preserve"> </w:t>
            </w:r>
          </w:p>
          <w:p w14:paraId="3EE9941F" w14:textId="2830850C" w:rsidR="0003605B" w:rsidRPr="0003605B" w:rsidRDefault="00E455EB" w:rsidP="0003605B">
            <w:pPr>
              <w:rPr>
                <w:rFonts w:cs="Calibri Light"/>
                <w:lang w:val="en-US"/>
              </w:rPr>
            </w:pPr>
            <w:r w:rsidRPr="00E455EB">
              <w:rPr>
                <w:rFonts w:cs="Calibri Light"/>
                <w:lang w:val="en"/>
              </w:rPr>
              <w:t>Shteti nuk ka zhvilluar programe trajnimi për ministritë dhe komunat lidhur me rregullat dhe obligimet e financimit të OSHC-ve.</w:t>
            </w:r>
          </w:p>
        </w:tc>
      </w:tr>
      <w:tr w:rsidR="0003605B" w:rsidRPr="0003605B" w14:paraId="4B1DCEA4" w14:textId="77777777" w:rsidTr="0003605B">
        <w:tc>
          <w:tcPr>
            <w:tcW w:w="1784" w:type="dxa"/>
            <w:vMerge/>
          </w:tcPr>
          <w:p w14:paraId="4D118C91" w14:textId="77777777" w:rsidR="0003605B" w:rsidRPr="0003605B" w:rsidRDefault="0003605B" w:rsidP="0003605B">
            <w:pPr>
              <w:rPr>
                <w:rFonts w:cs="Calibri Light"/>
                <w:lang w:val="en-US"/>
              </w:rPr>
            </w:pPr>
          </w:p>
        </w:tc>
        <w:tc>
          <w:tcPr>
            <w:tcW w:w="2499" w:type="dxa"/>
            <w:vMerge/>
          </w:tcPr>
          <w:p w14:paraId="354A64FA" w14:textId="77777777" w:rsidR="0003605B" w:rsidRPr="0003605B" w:rsidRDefault="0003605B" w:rsidP="0003605B">
            <w:pPr>
              <w:rPr>
                <w:rFonts w:cs="Calibri Light"/>
                <w:lang w:val="en-US"/>
              </w:rPr>
            </w:pPr>
          </w:p>
        </w:tc>
        <w:tc>
          <w:tcPr>
            <w:tcW w:w="4779" w:type="dxa"/>
          </w:tcPr>
          <w:p w14:paraId="02109D8C" w14:textId="723DA854" w:rsidR="0003605B" w:rsidRPr="0003605B" w:rsidRDefault="0003605B" w:rsidP="0003605B">
            <w:pPr>
              <w:rPr>
                <w:rFonts w:cs="Calibri Light"/>
                <w:b/>
                <w:lang w:val="en-US"/>
              </w:rPr>
            </w:pPr>
            <w:r w:rsidRPr="0003605B">
              <w:rPr>
                <w:rFonts w:cs="Calibri Light"/>
                <w:b/>
                <w:lang w:val="en-US"/>
              </w:rPr>
              <w:t xml:space="preserve">1.3 </w:t>
            </w:r>
            <w:r>
              <w:rPr>
                <w:rFonts w:cs="Calibri Light"/>
                <w:b/>
                <w:lang w:val="en-US"/>
              </w:rPr>
              <w:t>Rrënja e shkakut</w:t>
            </w:r>
            <w:r w:rsidRPr="0003605B">
              <w:rPr>
                <w:rFonts w:cs="Calibri Light"/>
                <w:b/>
                <w:lang w:val="en-US"/>
              </w:rPr>
              <w:t xml:space="preserve">  </w:t>
            </w:r>
          </w:p>
          <w:p w14:paraId="796C4EF4" w14:textId="45C02A57" w:rsidR="0003605B" w:rsidRPr="0003605B" w:rsidRDefault="00E455EB" w:rsidP="0003605B">
            <w:pPr>
              <w:rPr>
                <w:rFonts w:cs="Calibri Light"/>
                <w:b/>
                <w:lang w:val="en-US"/>
              </w:rPr>
            </w:pPr>
            <w:r w:rsidRPr="00E455EB">
              <w:rPr>
                <w:rFonts w:cs="Calibri Light"/>
                <w:lang w:val="en"/>
              </w:rPr>
              <w:t>Ministritë dhe komunat nuk bëjnë planifikim dhe koordinim efektiv për financimin e projekteve të OSHC-ve.</w:t>
            </w:r>
          </w:p>
        </w:tc>
      </w:tr>
      <w:tr w:rsidR="0003605B" w:rsidRPr="0003605B" w14:paraId="1057A174" w14:textId="77777777" w:rsidTr="0003605B">
        <w:tc>
          <w:tcPr>
            <w:tcW w:w="1784" w:type="dxa"/>
            <w:vMerge/>
          </w:tcPr>
          <w:p w14:paraId="518D47E9" w14:textId="77777777" w:rsidR="0003605B" w:rsidRPr="0003605B" w:rsidRDefault="0003605B" w:rsidP="0003605B">
            <w:pPr>
              <w:rPr>
                <w:rFonts w:cs="Calibri Light"/>
                <w:lang w:val="en-US"/>
              </w:rPr>
            </w:pPr>
          </w:p>
        </w:tc>
        <w:tc>
          <w:tcPr>
            <w:tcW w:w="2499" w:type="dxa"/>
            <w:vMerge/>
          </w:tcPr>
          <w:p w14:paraId="340CA9C9" w14:textId="77777777" w:rsidR="0003605B" w:rsidRPr="0003605B" w:rsidRDefault="0003605B" w:rsidP="0003605B">
            <w:pPr>
              <w:rPr>
                <w:rFonts w:cs="Calibri Light"/>
                <w:lang w:val="en-US"/>
              </w:rPr>
            </w:pPr>
          </w:p>
        </w:tc>
        <w:tc>
          <w:tcPr>
            <w:tcW w:w="4779" w:type="dxa"/>
          </w:tcPr>
          <w:p w14:paraId="64DA4C53" w14:textId="4B743545" w:rsidR="0003605B" w:rsidRPr="0003605B" w:rsidRDefault="0003605B" w:rsidP="0003605B">
            <w:pPr>
              <w:rPr>
                <w:rFonts w:cs="Calibri Light"/>
                <w:b/>
                <w:lang w:val="en-US"/>
              </w:rPr>
            </w:pPr>
            <w:r w:rsidRPr="0003605B">
              <w:rPr>
                <w:rFonts w:cs="Calibri Light"/>
                <w:b/>
                <w:lang w:val="en-US"/>
              </w:rPr>
              <w:t xml:space="preserve">1.4 </w:t>
            </w:r>
            <w:r>
              <w:rPr>
                <w:rFonts w:cs="Calibri Light"/>
                <w:b/>
                <w:lang w:val="en-US"/>
              </w:rPr>
              <w:t>Rrënja e shkakut</w:t>
            </w:r>
            <w:r w:rsidRPr="0003605B">
              <w:rPr>
                <w:rFonts w:cs="Calibri Light"/>
                <w:b/>
                <w:lang w:val="en-US"/>
              </w:rPr>
              <w:t xml:space="preserve">  </w:t>
            </w:r>
          </w:p>
          <w:p w14:paraId="435AE031" w14:textId="2C647C50" w:rsidR="0003605B" w:rsidRPr="0003605B" w:rsidRDefault="003F4A35" w:rsidP="0003605B">
            <w:pPr>
              <w:rPr>
                <w:rFonts w:cs="Calibri Light"/>
                <w:b/>
                <w:lang w:val="en-US"/>
              </w:rPr>
            </w:pPr>
            <w:r w:rsidRPr="003F4A35">
              <w:rPr>
                <w:rFonts w:cs="Calibri Light"/>
                <w:lang w:val="en"/>
              </w:rPr>
              <w:t>Ministritë dhe komunat nuk i analizojnë nevojat dhe identifikojnë sfidat për të cilat OshC</w:t>
            </w:r>
            <w:r>
              <w:rPr>
                <w:rFonts w:cs="Calibri Light"/>
                <w:lang w:val="en"/>
              </w:rPr>
              <w:t>-të</w:t>
            </w:r>
            <w:r w:rsidRPr="003F4A35">
              <w:rPr>
                <w:rFonts w:cs="Calibri Light"/>
                <w:lang w:val="en"/>
              </w:rPr>
              <w:t xml:space="preserve"> mund të ofrojnë mbështetje.</w:t>
            </w:r>
          </w:p>
        </w:tc>
      </w:tr>
      <w:tr w:rsidR="0003605B" w:rsidRPr="0003605B" w14:paraId="3703E1DA" w14:textId="77777777" w:rsidTr="0003605B">
        <w:tc>
          <w:tcPr>
            <w:tcW w:w="1784" w:type="dxa"/>
            <w:vMerge/>
          </w:tcPr>
          <w:p w14:paraId="0CD996F7" w14:textId="77777777" w:rsidR="0003605B" w:rsidRPr="0003605B" w:rsidRDefault="0003605B" w:rsidP="0003605B">
            <w:pPr>
              <w:rPr>
                <w:rFonts w:cs="Calibri Light"/>
                <w:lang w:val="en-US"/>
              </w:rPr>
            </w:pPr>
          </w:p>
        </w:tc>
        <w:tc>
          <w:tcPr>
            <w:tcW w:w="2499" w:type="dxa"/>
            <w:vMerge/>
          </w:tcPr>
          <w:p w14:paraId="12814193" w14:textId="77777777" w:rsidR="0003605B" w:rsidRPr="0003605B" w:rsidRDefault="0003605B" w:rsidP="0003605B">
            <w:pPr>
              <w:rPr>
                <w:rFonts w:cs="Calibri Light"/>
                <w:lang w:val="en-US"/>
              </w:rPr>
            </w:pPr>
          </w:p>
        </w:tc>
        <w:tc>
          <w:tcPr>
            <w:tcW w:w="4779" w:type="dxa"/>
          </w:tcPr>
          <w:p w14:paraId="03BD4E97" w14:textId="75EA1C2B" w:rsidR="0003605B" w:rsidRPr="0003605B" w:rsidRDefault="0003605B" w:rsidP="0003605B">
            <w:pPr>
              <w:rPr>
                <w:rFonts w:cs="Calibri Light"/>
                <w:b/>
                <w:lang w:val="en-US"/>
              </w:rPr>
            </w:pPr>
            <w:r w:rsidRPr="0003605B">
              <w:rPr>
                <w:rFonts w:cs="Calibri Light"/>
                <w:b/>
                <w:lang w:val="en-US"/>
              </w:rPr>
              <w:t xml:space="preserve">1.5 </w:t>
            </w:r>
            <w:r>
              <w:rPr>
                <w:rFonts w:cs="Calibri Light"/>
                <w:b/>
                <w:lang w:val="en-US"/>
              </w:rPr>
              <w:t>Rrënja e shkakut</w:t>
            </w:r>
            <w:r w:rsidRPr="0003605B">
              <w:rPr>
                <w:rFonts w:cs="Calibri Light"/>
                <w:b/>
                <w:lang w:val="en-US"/>
              </w:rPr>
              <w:t xml:space="preserve">  </w:t>
            </w:r>
          </w:p>
          <w:p w14:paraId="1B235F18" w14:textId="27691FBC" w:rsidR="0003605B" w:rsidRPr="0003605B" w:rsidRDefault="003F4A35" w:rsidP="0003605B">
            <w:pPr>
              <w:rPr>
                <w:rFonts w:cs="Calibri Light"/>
                <w:lang w:val="en-US"/>
              </w:rPr>
            </w:pPr>
            <w:r w:rsidRPr="003F4A35">
              <w:rPr>
                <w:rFonts w:cs="Calibri Light"/>
                <w:lang w:val="en"/>
              </w:rPr>
              <w:t>Shteti ka dështuar në zhvillimin e një sistemi adekuat të raportimit financiar për përfituesit e granteve.</w:t>
            </w:r>
          </w:p>
        </w:tc>
      </w:tr>
      <w:tr w:rsidR="0003605B" w:rsidRPr="0003605B" w14:paraId="57B3CA96" w14:textId="77777777" w:rsidTr="0003605B">
        <w:tc>
          <w:tcPr>
            <w:tcW w:w="1784" w:type="dxa"/>
            <w:vMerge/>
          </w:tcPr>
          <w:p w14:paraId="2AFC42A3" w14:textId="77777777" w:rsidR="0003605B" w:rsidRPr="0003605B" w:rsidRDefault="0003605B" w:rsidP="0003605B">
            <w:pPr>
              <w:rPr>
                <w:rFonts w:cs="Calibri Light"/>
                <w:lang w:val="en-US"/>
              </w:rPr>
            </w:pPr>
          </w:p>
        </w:tc>
        <w:tc>
          <w:tcPr>
            <w:tcW w:w="2499" w:type="dxa"/>
            <w:vMerge/>
          </w:tcPr>
          <w:p w14:paraId="2A9523E9" w14:textId="77777777" w:rsidR="0003605B" w:rsidRPr="0003605B" w:rsidRDefault="0003605B" w:rsidP="0003605B">
            <w:pPr>
              <w:rPr>
                <w:rFonts w:cs="Calibri Light"/>
                <w:lang w:val="en-US"/>
              </w:rPr>
            </w:pPr>
          </w:p>
        </w:tc>
        <w:tc>
          <w:tcPr>
            <w:tcW w:w="4779" w:type="dxa"/>
          </w:tcPr>
          <w:p w14:paraId="368F5A11" w14:textId="231F9DBE" w:rsidR="0003605B" w:rsidRPr="0003605B" w:rsidRDefault="0003605B" w:rsidP="0003605B">
            <w:pPr>
              <w:rPr>
                <w:rFonts w:cs="Calibri Light"/>
                <w:b/>
                <w:lang w:val="en-US"/>
              </w:rPr>
            </w:pPr>
            <w:r w:rsidRPr="0003605B">
              <w:rPr>
                <w:rFonts w:cs="Calibri Light"/>
                <w:b/>
                <w:lang w:val="en-US"/>
              </w:rPr>
              <w:t xml:space="preserve">1.6 </w:t>
            </w:r>
            <w:r>
              <w:rPr>
                <w:rFonts w:cs="Calibri Light"/>
                <w:b/>
                <w:lang w:val="en-US"/>
              </w:rPr>
              <w:t>Rrënja e shkakut</w:t>
            </w:r>
            <w:r w:rsidRPr="0003605B">
              <w:rPr>
                <w:rFonts w:cs="Calibri Light"/>
                <w:b/>
                <w:lang w:val="en-US"/>
              </w:rPr>
              <w:t xml:space="preserve"> </w:t>
            </w:r>
          </w:p>
          <w:p w14:paraId="097E9200" w14:textId="4C3B6881" w:rsidR="0003605B" w:rsidRPr="0003605B" w:rsidRDefault="003F4A35" w:rsidP="0003605B">
            <w:pPr>
              <w:rPr>
                <w:rFonts w:cs="Calibri Light"/>
                <w:lang w:val="en-US"/>
              </w:rPr>
            </w:pPr>
            <w:r w:rsidRPr="003F4A35">
              <w:rPr>
                <w:rFonts w:cs="Calibri Light"/>
                <w:lang w:val="en"/>
              </w:rPr>
              <w:t>Ministria e Financave nuk ka një sistem online për publikimin e të dhënave të hollësishme për fondet publike për OSHC-të.</w:t>
            </w:r>
          </w:p>
        </w:tc>
      </w:tr>
      <w:tr w:rsidR="0003605B" w:rsidRPr="0003605B" w14:paraId="79255EA9" w14:textId="77777777" w:rsidTr="0003605B">
        <w:tc>
          <w:tcPr>
            <w:tcW w:w="1784" w:type="dxa"/>
            <w:vMerge/>
          </w:tcPr>
          <w:p w14:paraId="276FCC5D" w14:textId="77777777" w:rsidR="0003605B" w:rsidRPr="0003605B" w:rsidRDefault="0003605B" w:rsidP="0003605B">
            <w:pPr>
              <w:rPr>
                <w:rFonts w:cs="Calibri Light"/>
                <w:lang w:val="en-US"/>
              </w:rPr>
            </w:pPr>
          </w:p>
        </w:tc>
        <w:tc>
          <w:tcPr>
            <w:tcW w:w="2499" w:type="dxa"/>
            <w:vMerge w:val="restart"/>
          </w:tcPr>
          <w:p w14:paraId="06FFC688" w14:textId="664E5BA4" w:rsidR="0003605B" w:rsidRPr="0003605B" w:rsidRDefault="0003605B" w:rsidP="0003605B">
            <w:pPr>
              <w:rPr>
                <w:rFonts w:cs="Calibri Light"/>
                <w:b/>
                <w:lang w:val="en-US"/>
              </w:rPr>
            </w:pPr>
            <w:r w:rsidRPr="0003605B">
              <w:rPr>
                <w:rFonts w:cs="Calibri Light"/>
                <w:b/>
                <w:lang w:val="en-US"/>
              </w:rPr>
              <w:t xml:space="preserve">2. </w:t>
            </w:r>
            <w:r>
              <w:rPr>
                <w:rFonts w:cs="Calibri Light"/>
                <w:b/>
                <w:lang w:val="en-US"/>
              </w:rPr>
              <w:t>Shkaku kryesor</w:t>
            </w:r>
            <w:r w:rsidRPr="0003605B">
              <w:rPr>
                <w:rFonts w:cs="Calibri Light"/>
                <w:b/>
                <w:lang w:val="en-US"/>
              </w:rPr>
              <w:t xml:space="preserve"> </w:t>
            </w:r>
          </w:p>
          <w:p w14:paraId="6F814EDF" w14:textId="0055867B" w:rsidR="0003605B" w:rsidRPr="0003605B" w:rsidRDefault="003F4A35" w:rsidP="0003605B">
            <w:pPr>
              <w:rPr>
                <w:rFonts w:cs="Calibri Light"/>
                <w:lang w:val="en-US"/>
              </w:rPr>
            </w:pPr>
            <w:r w:rsidRPr="003F4A35">
              <w:rPr>
                <w:rFonts w:cs="Calibri Light"/>
                <w:lang w:val="en"/>
              </w:rPr>
              <w:lastRenderedPageBreak/>
              <w:t>Mungesa e zhvillimit të filantropisë individuale dhe korporative.</w:t>
            </w:r>
          </w:p>
        </w:tc>
        <w:tc>
          <w:tcPr>
            <w:tcW w:w="4779" w:type="dxa"/>
          </w:tcPr>
          <w:p w14:paraId="4EBBB394" w14:textId="287FA5D0" w:rsidR="0003605B" w:rsidRPr="0003605B" w:rsidRDefault="0003605B" w:rsidP="0003605B">
            <w:pPr>
              <w:rPr>
                <w:rFonts w:cs="Calibri Light"/>
                <w:b/>
                <w:lang w:val="en-US"/>
              </w:rPr>
            </w:pPr>
            <w:r w:rsidRPr="0003605B">
              <w:rPr>
                <w:rFonts w:cs="Calibri Light"/>
                <w:b/>
                <w:lang w:val="en-US"/>
              </w:rPr>
              <w:lastRenderedPageBreak/>
              <w:t xml:space="preserve">2.1 </w:t>
            </w:r>
            <w:r>
              <w:rPr>
                <w:rFonts w:cs="Calibri Light"/>
                <w:b/>
                <w:lang w:val="en-US"/>
              </w:rPr>
              <w:t>Rrënja e shkakut</w:t>
            </w:r>
            <w:r w:rsidRPr="0003605B">
              <w:rPr>
                <w:rFonts w:cs="Calibri Light"/>
                <w:b/>
                <w:lang w:val="en-US"/>
              </w:rPr>
              <w:t xml:space="preserve">  </w:t>
            </w:r>
          </w:p>
          <w:p w14:paraId="19E173D4" w14:textId="6209782F" w:rsidR="0003605B" w:rsidRPr="0003605B" w:rsidRDefault="003F4A35" w:rsidP="0003605B">
            <w:pPr>
              <w:rPr>
                <w:rFonts w:cs="Calibri Light"/>
                <w:lang w:val="en-US"/>
              </w:rPr>
            </w:pPr>
            <w:r w:rsidRPr="003F4A35">
              <w:rPr>
                <w:rFonts w:cs="Calibri Light"/>
                <w:lang w:val="en"/>
              </w:rPr>
              <w:lastRenderedPageBreak/>
              <w:t>Shteti ka dështuar të harmonizojë dhe plotësojë kuadrin ligjor për rregullimin e filantropisë.</w:t>
            </w:r>
          </w:p>
        </w:tc>
      </w:tr>
      <w:tr w:rsidR="0003605B" w:rsidRPr="0003605B" w14:paraId="14095E54" w14:textId="77777777" w:rsidTr="0003605B">
        <w:tc>
          <w:tcPr>
            <w:tcW w:w="1784" w:type="dxa"/>
            <w:vMerge/>
          </w:tcPr>
          <w:p w14:paraId="29AD60A6" w14:textId="77777777" w:rsidR="0003605B" w:rsidRPr="0003605B" w:rsidRDefault="0003605B" w:rsidP="0003605B">
            <w:pPr>
              <w:rPr>
                <w:rFonts w:cs="Calibri Light"/>
                <w:lang w:val="en-US"/>
              </w:rPr>
            </w:pPr>
          </w:p>
        </w:tc>
        <w:tc>
          <w:tcPr>
            <w:tcW w:w="2499" w:type="dxa"/>
            <w:vMerge/>
          </w:tcPr>
          <w:p w14:paraId="7B617F77" w14:textId="77777777" w:rsidR="0003605B" w:rsidRPr="0003605B" w:rsidRDefault="0003605B" w:rsidP="0003605B">
            <w:pPr>
              <w:rPr>
                <w:rFonts w:cs="Calibri Light"/>
                <w:lang w:val="en-US"/>
              </w:rPr>
            </w:pPr>
          </w:p>
        </w:tc>
        <w:tc>
          <w:tcPr>
            <w:tcW w:w="4779" w:type="dxa"/>
          </w:tcPr>
          <w:p w14:paraId="6663FD27" w14:textId="250D142C" w:rsidR="0003605B" w:rsidRPr="0003605B" w:rsidRDefault="0003605B" w:rsidP="0003605B">
            <w:pPr>
              <w:rPr>
                <w:rFonts w:cs="Calibri Light"/>
                <w:b/>
                <w:lang w:val="en-US"/>
              </w:rPr>
            </w:pPr>
            <w:r w:rsidRPr="0003605B">
              <w:rPr>
                <w:rFonts w:cs="Calibri Light"/>
                <w:b/>
                <w:lang w:val="en-US"/>
              </w:rPr>
              <w:t xml:space="preserve">2.2 </w:t>
            </w:r>
            <w:r>
              <w:rPr>
                <w:rFonts w:cs="Calibri Light"/>
                <w:b/>
                <w:lang w:val="en-US"/>
              </w:rPr>
              <w:t>Rrënja e shkakut</w:t>
            </w:r>
            <w:r w:rsidRPr="0003605B">
              <w:rPr>
                <w:rFonts w:cs="Calibri Light"/>
                <w:b/>
                <w:lang w:val="en-US"/>
              </w:rPr>
              <w:t xml:space="preserve"> </w:t>
            </w:r>
          </w:p>
          <w:p w14:paraId="31E75DE1" w14:textId="1171207B" w:rsidR="0003605B" w:rsidRPr="0003605B" w:rsidRDefault="003F4A35" w:rsidP="0003605B">
            <w:pPr>
              <w:rPr>
                <w:rFonts w:cs="Calibri Light"/>
                <w:lang w:val="en-US"/>
              </w:rPr>
            </w:pPr>
            <w:r w:rsidRPr="003F4A35">
              <w:rPr>
                <w:rFonts w:cs="Calibri Light"/>
                <w:lang w:val="en"/>
              </w:rPr>
              <w:t>Zyrtarët e taksave nuk janë të informuar dhe nuk kanë njohuri për praktikat lokale dhe ndërkombëtare në lidhje me filantropinë.</w:t>
            </w:r>
          </w:p>
        </w:tc>
      </w:tr>
      <w:tr w:rsidR="0003605B" w:rsidRPr="0003605B" w14:paraId="1FD37C35" w14:textId="77777777" w:rsidTr="0003605B">
        <w:tc>
          <w:tcPr>
            <w:tcW w:w="1784" w:type="dxa"/>
            <w:vMerge/>
          </w:tcPr>
          <w:p w14:paraId="46746AF9" w14:textId="77777777" w:rsidR="0003605B" w:rsidRPr="0003605B" w:rsidRDefault="0003605B" w:rsidP="0003605B">
            <w:pPr>
              <w:rPr>
                <w:rFonts w:cs="Calibri Light"/>
                <w:lang w:val="en-US"/>
              </w:rPr>
            </w:pPr>
          </w:p>
        </w:tc>
        <w:tc>
          <w:tcPr>
            <w:tcW w:w="2499" w:type="dxa"/>
            <w:vMerge/>
          </w:tcPr>
          <w:p w14:paraId="7B389D9B" w14:textId="77777777" w:rsidR="0003605B" w:rsidRPr="0003605B" w:rsidRDefault="0003605B" w:rsidP="0003605B">
            <w:pPr>
              <w:rPr>
                <w:rFonts w:cs="Calibri Light"/>
                <w:lang w:val="en-US"/>
              </w:rPr>
            </w:pPr>
          </w:p>
        </w:tc>
        <w:tc>
          <w:tcPr>
            <w:tcW w:w="4779" w:type="dxa"/>
          </w:tcPr>
          <w:p w14:paraId="46034AA1" w14:textId="7C28728F" w:rsidR="0003605B" w:rsidRPr="0003605B" w:rsidRDefault="0003605B" w:rsidP="0003605B">
            <w:pPr>
              <w:rPr>
                <w:rFonts w:cs="Calibri Light"/>
                <w:b/>
                <w:lang w:val="en-US"/>
              </w:rPr>
            </w:pPr>
            <w:r w:rsidRPr="0003605B">
              <w:rPr>
                <w:rFonts w:cs="Calibri Light"/>
                <w:b/>
                <w:lang w:val="en-US"/>
              </w:rPr>
              <w:t xml:space="preserve">2.3 </w:t>
            </w:r>
            <w:r>
              <w:rPr>
                <w:rFonts w:cs="Calibri Light"/>
                <w:b/>
                <w:lang w:val="en-US"/>
              </w:rPr>
              <w:t>Rrënja e shkakut</w:t>
            </w:r>
            <w:r w:rsidRPr="0003605B">
              <w:rPr>
                <w:rFonts w:cs="Calibri Light"/>
                <w:b/>
                <w:lang w:val="en-US"/>
              </w:rPr>
              <w:t xml:space="preserve"> </w:t>
            </w:r>
          </w:p>
          <w:p w14:paraId="11205116" w14:textId="0BC4A6D7" w:rsidR="0003605B" w:rsidRPr="0003605B" w:rsidRDefault="003F4A35" w:rsidP="0003605B">
            <w:pPr>
              <w:rPr>
                <w:rFonts w:cs="Calibri Light"/>
                <w:b/>
                <w:lang w:val="en-US"/>
              </w:rPr>
            </w:pPr>
            <w:r w:rsidRPr="003F4A35">
              <w:rPr>
                <w:rFonts w:cs="Calibri Light"/>
                <w:lang w:val="en"/>
              </w:rPr>
              <w:t>Shteti nuk ka një qasje (diskurs) pozitiv</w:t>
            </w:r>
            <w:r>
              <w:rPr>
                <w:rFonts w:cs="Calibri Light"/>
                <w:lang w:val="en"/>
              </w:rPr>
              <w:t xml:space="preserve"> </w:t>
            </w:r>
            <w:r w:rsidRPr="003F4A35">
              <w:rPr>
                <w:rFonts w:cs="Calibri Light"/>
                <w:lang w:val="en"/>
              </w:rPr>
              <w:t>ndaj shoqërisë civile në lidhje me financimin e OSHC-ve përmes filantropisë.</w:t>
            </w:r>
          </w:p>
        </w:tc>
      </w:tr>
      <w:tr w:rsidR="0003605B" w:rsidRPr="0003605B" w14:paraId="00F7C068" w14:textId="77777777" w:rsidTr="0003605B">
        <w:tc>
          <w:tcPr>
            <w:tcW w:w="1784" w:type="dxa"/>
            <w:vMerge/>
          </w:tcPr>
          <w:p w14:paraId="0F50AE1C" w14:textId="77777777" w:rsidR="0003605B" w:rsidRPr="0003605B" w:rsidRDefault="0003605B" w:rsidP="0003605B">
            <w:pPr>
              <w:rPr>
                <w:rFonts w:cs="Calibri Light"/>
                <w:lang w:val="en-US"/>
              </w:rPr>
            </w:pPr>
          </w:p>
        </w:tc>
        <w:tc>
          <w:tcPr>
            <w:tcW w:w="2499" w:type="dxa"/>
            <w:vMerge/>
          </w:tcPr>
          <w:p w14:paraId="25342C22" w14:textId="77777777" w:rsidR="0003605B" w:rsidRPr="0003605B" w:rsidRDefault="0003605B" w:rsidP="0003605B">
            <w:pPr>
              <w:rPr>
                <w:rFonts w:cs="Calibri Light"/>
                <w:lang w:val="en-US"/>
              </w:rPr>
            </w:pPr>
          </w:p>
        </w:tc>
        <w:tc>
          <w:tcPr>
            <w:tcW w:w="4779" w:type="dxa"/>
          </w:tcPr>
          <w:p w14:paraId="5D8DE486" w14:textId="768133AF" w:rsidR="0003605B" w:rsidRPr="0003605B" w:rsidRDefault="0003605B" w:rsidP="0003605B">
            <w:pPr>
              <w:rPr>
                <w:rFonts w:cs="Calibri Light"/>
                <w:b/>
                <w:lang w:val="en-US"/>
              </w:rPr>
            </w:pPr>
            <w:r w:rsidRPr="0003605B">
              <w:rPr>
                <w:rFonts w:cs="Calibri Light"/>
                <w:b/>
                <w:lang w:val="en-US"/>
              </w:rPr>
              <w:t xml:space="preserve">2.4 </w:t>
            </w:r>
            <w:r>
              <w:rPr>
                <w:rFonts w:cs="Calibri Light"/>
                <w:b/>
                <w:lang w:val="en-US"/>
              </w:rPr>
              <w:t>Rrënja e shkakut</w:t>
            </w:r>
            <w:r w:rsidRPr="0003605B">
              <w:rPr>
                <w:rFonts w:cs="Calibri Light"/>
                <w:b/>
                <w:lang w:val="en-US"/>
              </w:rPr>
              <w:t xml:space="preserve"> </w:t>
            </w:r>
          </w:p>
          <w:p w14:paraId="2D326274" w14:textId="05B1A4C6" w:rsidR="0003605B" w:rsidRPr="0003605B" w:rsidRDefault="003F4A35" w:rsidP="0003605B">
            <w:pPr>
              <w:rPr>
                <w:rFonts w:cs="Calibri Light"/>
                <w:b/>
                <w:lang w:val="en-US"/>
              </w:rPr>
            </w:pPr>
            <w:r w:rsidRPr="003F4A35">
              <w:rPr>
                <w:rFonts w:cs="Calibri Light"/>
                <w:lang w:val="en"/>
              </w:rPr>
              <w:t>Shteti nuk kupton mjaftueshëm rolin e shoqërisë civile në zbatimin e programeve të interesit publik dhe kontributin e tij në zhvillimin e komunitetit lokal.</w:t>
            </w:r>
          </w:p>
        </w:tc>
      </w:tr>
      <w:tr w:rsidR="0003605B" w:rsidRPr="0003605B" w14:paraId="1E4E3D79" w14:textId="77777777" w:rsidTr="0003605B">
        <w:tc>
          <w:tcPr>
            <w:tcW w:w="1784" w:type="dxa"/>
            <w:vMerge/>
          </w:tcPr>
          <w:p w14:paraId="3B9CF51A" w14:textId="77777777" w:rsidR="0003605B" w:rsidRPr="0003605B" w:rsidRDefault="0003605B" w:rsidP="0003605B">
            <w:pPr>
              <w:rPr>
                <w:rFonts w:cs="Calibri Light"/>
                <w:lang w:val="en-US"/>
              </w:rPr>
            </w:pPr>
          </w:p>
        </w:tc>
        <w:tc>
          <w:tcPr>
            <w:tcW w:w="2499" w:type="dxa"/>
            <w:vMerge/>
          </w:tcPr>
          <w:p w14:paraId="0F73BD71" w14:textId="77777777" w:rsidR="0003605B" w:rsidRPr="0003605B" w:rsidRDefault="0003605B" w:rsidP="0003605B">
            <w:pPr>
              <w:rPr>
                <w:rFonts w:cs="Calibri Light"/>
                <w:lang w:val="en-US"/>
              </w:rPr>
            </w:pPr>
          </w:p>
        </w:tc>
        <w:tc>
          <w:tcPr>
            <w:tcW w:w="4779" w:type="dxa"/>
          </w:tcPr>
          <w:p w14:paraId="64956697" w14:textId="46F278DD" w:rsidR="0003605B" w:rsidRPr="0003605B" w:rsidRDefault="0003605B" w:rsidP="0003605B">
            <w:pPr>
              <w:rPr>
                <w:rFonts w:cs="Calibri Light"/>
                <w:b/>
                <w:lang w:val="en-US"/>
              </w:rPr>
            </w:pPr>
            <w:r w:rsidRPr="0003605B">
              <w:rPr>
                <w:rFonts w:cs="Calibri Light"/>
                <w:b/>
                <w:lang w:val="en-US"/>
              </w:rPr>
              <w:t xml:space="preserve">2.5 </w:t>
            </w:r>
            <w:r>
              <w:rPr>
                <w:rFonts w:cs="Calibri Light"/>
                <w:b/>
                <w:lang w:val="en-US"/>
              </w:rPr>
              <w:t>Rrënja e shkakut</w:t>
            </w:r>
            <w:r w:rsidRPr="0003605B">
              <w:rPr>
                <w:rFonts w:cs="Calibri Light"/>
                <w:b/>
                <w:lang w:val="en-US"/>
              </w:rPr>
              <w:t xml:space="preserve"> </w:t>
            </w:r>
          </w:p>
          <w:p w14:paraId="528DA05F" w14:textId="2F47BFE7" w:rsidR="0003605B" w:rsidRPr="0003605B" w:rsidRDefault="003F4A35" w:rsidP="0003605B">
            <w:pPr>
              <w:rPr>
                <w:rFonts w:cs="Calibri Light"/>
                <w:lang w:val="en-US"/>
              </w:rPr>
            </w:pPr>
            <w:r w:rsidRPr="003F4A35">
              <w:rPr>
                <w:rFonts w:cs="Calibri Light"/>
                <w:lang w:val="en"/>
              </w:rPr>
              <w:t>Shteti nuk ka zhvilluar mekanizma zbatuese për zhvillimin e filantropisë individuale dhe korporative.</w:t>
            </w:r>
          </w:p>
        </w:tc>
      </w:tr>
      <w:tr w:rsidR="0003605B" w:rsidRPr="0003605B" w14:paraId="50DA29D2" w14:textId="77777777" w:rsidTr="0003605B">
        <w:tc>
          <w:tcPr>
            <w:tcW w:w="1784" w:type="dxa"/>
            <w:vMerge/>
          </w:tcPr>
          <w:p w14:paraId="3A990015" w14:textId="77777777" w:rsidR="0003605B" w:rsidRPr="0003605B" w:rsidRDefault="0003605B" w:rsidP="0003605B">
            <w:pPr>
              <w:rPr>
                <w:rFonts w:cs="Calibri Light"/>
                <w:lang w:val="en-US"/>
              </w:rPr>
            </w:pPr>
          </w:p>
        </w:tc>
        <w:tc>
          <w:tcPr>
            <w:tcW w:w="2499" w:type="dxa"/>
            <w:vMerge w:val="restart"/>
          </w:tcPr>
          <w:p w14:paraId="1AA4F727" w14:textId="1AA5C35E" w:rsidR="0003605B" w:rsidRPr="0003605B" w:rsidRDefault="0003605B" w:rsidP="0003605B">
            <w:pPr>
              <w:rPr>
                <w:rFonts w:cs="Calibri Light"/>
                <w:b/>
                <w:lang w:val="en-US"/>
              </w:rPr>
            </w:pPr>
            <w:r w:rsidRPr="0003605B">
              <w:rPr>
                <w:rFonts w:cs="Calibri Light"/>
                <w:b/>
                <w:lang w:val="en-US"/>
              </w:rPr>
              <w:t xml:space="preserve">3. </w:t>
            </w:r>
            <w:r>
              <w:rPr>
                <w:rFonts w:cs="Calibri Light"/>
                <w:b/>
                <w:lang w:val="en-US"/>
              </w:rPr>
              <w:t>Shkaku kryesor</w:t>
            </w:r>
            <w:r w:rsidRPr="0003605B">
              <w:rPr>
                <w:rFonts w:cs="Calibri Light"/>
                <w:b/>
                <w:lang w:val="en-US"/>
              </w:rPr>
              <w:t xml:space="preserve">  </w:t>
            </w:r>
          </w:p>
          <w:p w14:paraId="33FCD03B" w14:textId="16DB20FA" w:rsidR="0003605B" w:rsidRPr="0003605B" w:rsidRDefault="003F4A35" w:rsidP="0003605B">
            <w:pPr>
              <w:rPr>
                <w:rFonts w:cs="Calibri Light"/>
                <w:lang w:val="en-US"/>
              </w:rPr>
            </w:pPr>
            <w:r w:rsidRPr="003F4A35">
              <w:rPr>
                <w:rFonts w:cs="Calibri Light"/>
                <w:lang w:val="en"/>
              </w:rPr>
              <w:t>Përdorimi i pronës shtetërore (</w:t>
            </w:r>
            <w:r>
              <w:rPr>
                <w:rFonts w:cs="Calibri Light"/>
                <w:lang w:val="en"/>
              </w:rPr>
              <w:t>lokale</w:t>
            </w:r>
            <w:r w:rsidRPr="003F4A35">
              <w:rPr>
                <w:rFonts w:cs="Calibri Light"/>
                <w:lang w:val="en"/>
              </w:rPr>
              <w:t xml:space="preserve"> dhe </w:t>
            </w:r>
            <w:r>
              <w:rPr>
                <w:rFonts w:cs="Calibri Light"/>
                <w:lang w:val="en"/>
              </w:rPr>
              <w:t>nacionale</w:t>
            </w:r>
            <w:r w:rsidRPr="003F4A35">
              <w:rPr>
                <w:rFonts w:cs="Calibri Light"/>
                <w:lang w:val="en"/>
              </w:rPr>
              <w:t xml:space="preserve">) nga OSHC-të ende nuk është rregulluar, sqaruar dhe </w:t>
            </w:r>
            <w:r>
              <w:rPr>
                <w:rFonts w:cs="Calibri Light"/>
                <w:lang w:val="en"/>
              </w:rPr>
              <w:t xml:space="preserve">nuk është </w:t>
            </w:r>
            <w:r w:rsidRPr="003F4A35">
              <w:rPr>
                <w:rFonts w:cs="Calibri Light"/>
                <w:lang w:val="en"/>
              </w:rPr>
              <w:t>transparent</w:t>
            </w:r>
            <w:r>
              <w:rPr>
                <w:rFonts w:cs="Calibri Light"/>
                <w:lang w:val="en"/>
              </w:rPr>
              <w:t>e</w:t>
            </w:r>
            <w:r w:rsidRPr="003F4A35">
              <w:rPr>
                <w:rFonts w:cs="Calibri Light"/>
                <w:lang w:val="en"/>
              </w:rPr>
              <w:t>.</w:t>
            </w:r>
          </w:p>
        </w:tc>
        <w:tc>
          <w:tcPr>
            <w:tcW w:w="4779" w:type="dxa"/>
          </w:tcPr>
          <w:p w14:paraId="04CD3271" w14:textId="0C958CEA" w:rsidR="0003605B" w:rsidRPr="0003605B" w:rsidRDefault="0003605B" w:rsidP="0003605B">
            <w:pPr>
              <w:rPr>
                <w:rFonts w:cs="Calibri Light"/>
                <w:b/>
                <w:lang w:val="en-US"/>
              </w:rPr>
            </w:pPr>
            <w:r w:rsidRPr="0003605B">
              <w:rPr>
                <w:rFonts w:cs="Calibri Light"/>
                <w:b/>
                <w:lang w:val="en-US"/>
              </w:rPr>
              <w:t xml:space="preserve">3.1 </w:t>
            </w:r>
            <w:r>
              <w:rPr>
                <w:rFonts w:cs="Calibri Light"/>
                <w:b/>
                <w:lang w:val="en-US"/>
              </w:rPr>
              <w:t>Rrënja e shkakut</w:t>
            </w:r>
          </w:p>
          <w:p w14:paraId="6AF1947B" w14:textId="4BAF3712" w:rsidR="0003605B" w:rsidRPr="0003605B" w:rsidRDefault="003F4A35" w:rsidP="0003605B">
            <w:pPr>
              <w:rPr>
                <w:rFonts w:cs="Calibri Light"/>
                <w:lang w:val="en-US"/>
              </w:rPr>
            </w:pPr>
            <w:r w:rsidRPr="003F4A35">
              <w:rPr>
                <w:rFonts w:cs="Calibri Light"/>
                <w:lang w:val="en"/>
              </w:rPr>
              <w:t xml:space="preserve">Shteti nuk ka përcaktuar standardet, procedurat dhe kriteret për rregullimin e </w:t>
            </w:r>
            <w:r>
              <w:rPr>
                <w:rFonts w:cs="Calibri Light"/>
                <w:lang w:val="en"/>
              </w:rPr>
              <w:t>shfrytëzimit</w:t>
            </w:r>
            <w:r w:rsidRPr="003F4A35">
              <w:rPr>
                <w:rFonts w:cs="Calibri Light"/>
                <w:lang w:val="en"/>
              </w:rPr>
              <w:t xml:space="preserve"> të pronës shtetërore.</w:t>
            </w:r>
          </w:p>
        </w:tc>
      </w:tr>
      <w:tr w:rsidR="0003605B" w:rsidRPr="0003605B" w14:paraId="1267238A" w14:textId="77777777" w:rsidTr="0003605B">
        <w:tc>
          <w:tcPr>
            <w:tcW w:w="1784" w:type="dxa"/>
            <w:vMerge/>
          </w:tcPr>
          <w:p w14:paraId="5C832FEF" w14:textId="77777777" w:rsidR="0003605B" w:rsidRPr="0003605B" w:rsidRDefault="0003605B" w:rsidP="0003605B">
            <w:pPr>
              <w:rPr>
                <w:rFonts w:cs="Calibri Light"/>
                <w:lang w:val="en-US"/>
              </w:rPr>
            </w:pPr>
          </w:p>
        </w:tc>
        <w:tc>
          <w:tcPr>
            <w:tcW w:w="2499" w:type="dxa"/>
            <w:vMerge/>
          </w:tcPr>
          <w:p w14:paraId="2FD2CB14" w14:textId="77777777" w:rsidR="0003605B" w:rsidRPr="0003605B" w:rsidRDefault="0003605B" w:rsidP="0003605B">
            <w:pPr>
              <w:rPr>
                <w:rFonts w:cs="Calibri Light"/>
                <w:b/>
                <w:lang w:val="en-US"/>
              </w:rPr>
            </w:pPr>
          </w:p>
        </w:tc>
        <w:tc>
          <w:tcPr>
            <w:tcW w:w="4779" w:type="dxa"/>
          </w:tcPr>
          <w:p w14:paraId="44C57D48" w14:textId="4E6CFCD5" w:rsidR="0003605B" w:rsidRPr="0003605B" w:rsidRDefault="0003605B" w:rsidP="0003605B">
            <w:pPr>
              <w:rPr>
                <w:rFonts w:cs="Calibri Light"/>
                <w:b/>
                <w:lang w:val="en-US"/>
              </w:rPr>
            </w:pPr>
            <w:r w:rsidRPr="0003605B">
              <w:rPr>
                <w:rFonts w:cs="Calibri Light"/>
                <w:b/>
                <w:lang w:val="en-US"/>
              </w:rPr>
              <w:t xml:space="preserve">3.2 </w:t>
            </w:r>
            <w:r>
              <w:rPr>
                <w:rFonts w:cs="Calibri Light"/>
                <w:b/>
                <w:lang w:val="en-US"/>
              </w:rPr>
              <w:t>Rrënja e shkakut</w:t>
            </w:r>
            <w:r w:rsidRPr="0003605B">
              <w:rPr>
                <w:rFonts w:cs="Calibri Light"/>
                <w:b/>
                <w:lang w:val="en-US"/>
              </w:rPr>
              <w:t xml:space="preserve"> </w:t>
            </w:r>
          </w:p>
          <w:p w14:paraId="676403C7" w14:textId="32130AF7" w:rsidR="0003605B" w:rsidRPr="0003605B" w:rsidRDefault="000B74CD" w:rsidP="0003605B">
            <w:pPr>
              <w:rPr>
                <w:rFonts w:cs="Calibri Light"/>
                <w:lang w:val="en-US"/>
              </w:rPr>
            </w:pPr>
            <w:r w:rsidRPr="000B74CD">
              <w:rPr>
                <w:rFonts w:cs="Calibri Light"/>
                <w:lang w:val="en"/>
              </w:rPr>
              <w:t>Shteti nuk ka zhvilluar mekanizma zbatues për përdorimin e pronës shtetërore nga OShC-të</w:t>
            </w:r>
            <w:r w:rsidR="0003605B" w:rsidRPr="0003605B">
              <w:rPr>
                <w:rFonts w:cs="Calibri Light"/>
                <w:lang w:val="en"/>
              </w:rPr>
              <w:t xml:space="preserve">. </w:t>
            </w:r>
          </w:p>
          <w:p w14:paraId="02F1D438" w14:textId="77777777" w:rsidR="0003605B" w:rsidRPr="0003605B" w:rsidRDefault="0003605B" w:rsidP="0003605B">
            <w:pPr>
              <w:rPr>
                <w:rFonts w:cs="Calibri Light"/>
                <w:b/>
                <w:lang w:val="en-US"/>
              </w:rPr>
            </w:pPr>
          </w:p>
        </w:tc>
      </w:tr>
      <w:tr w:rsidR="0003605B" w:rsidRPr="0003605B" w14:paraId="01A437F7" w14:textId="77777777" w:rsidTr="000B74CD">
        <w:trPr>
          <w:trHeight w:val="931"/>
        </w:trPr>
        <w:tc>
          <w:tcPr>
            <w:tcW w:w="1784" w:type="dxa"/>
            <w:vMerge/>
          </w:tcPr>
          <w:p w14:paraId="19CB2BA5" w14:textId="77777777" w:rsidR="0003605B" w:rsidRPr="0003605B" w:rsidRDefault="0003605B" w:rsidP="0003605B">
            <w:pPr>
              <w:rPr>
                <w:rFonts w:cs="Calibri Light"/>
                <w:lang w:val="en-US"/>
              </w:rPr>
            </w:pPr>
          </w:p>
        </w:tc>
        <w:tc>
          <w:tcPr>
            <w:tcW w:w="2499" w:type="dxa"/>
            <w:vMerge w:val="restart"/>
          </w:tcPr>
          <w:p w14:paraId="22562080" w14:textId="3C3F78D8" w:rsidR="0003605B" w:rsidRPr="0003605B" w:rsidRDefault="0003605B" w:rsidP="0003605B">
            <w:pPr>
              <w:rPr>
                <w:rFonts w:cs="Calibri Light"/>
                <w:b/>
                <w:lang w:val="en-US"/>
              </w:rPr>
            </w:pPr>
            <w:r w:rsidRPr="0003605B">
              <w:rPr>
                <w:rFonts w:cs="Calibri Light"/>
                <w:b/>
                <w:lang w:val="en-US"/>
              </w:rPr>
              <w:t xml:space="preserve">4. </w:t>
            </w:r>
            <w:r>
              <w:rPr>
                <w:rFonts w:cs="Calibri Light"/>
                <w:b/>
                <w:lang w:val="en-US"/>
              </w:rPr>
              <w:t>Shkaku kryesor</w:t>
            </w:r>
          </w:p>
          <w:p w14:paraId="1F1B2696" w14:textId="0CCADBA3" w:rsidR="0003605B" w:rsidRPr="0003605B" w:rsidRDefault="0003605B" w:rsidP="000B74CD">
            <w:pPr>
              <w:rPr>
                <w:rFonts w:cs="Calibri Light"/>
                <w:lang w:val="en-US"/>
              </w:rPr>
            </w:pPr>
            <w:r w:rsidRPr="0003605B">
              <w:rPr>
                <w:rFonts w:cs="Calibri Light"/>
                <w:lang w:val="en"/>
              </w:rPr>
              <w:t>The CSOs’ economic activities are limited</w:t>
            </w:r>
          </w:p>
        </w:tc>
        <w:tc>
          <w:tcPr>
            <w:tcW w:w="4779" w:type="dxa"/>
          </w:tcPr>
          <w:p w14:paraId="6FA40807" w14:textId="2F42AB5A" w:rsidR="0003605B" w:rsidRPr="0003605B" w:rsidRDefault="0003605B" w:rsidP="0003605B">
            <w:pPr>
              <w:rPr>
                <w:rFonts w:cs="Calibri Light"/>
                <w:b/>
                <w:lang w:val="en-US"/>
              </w:rPr>
            </w:pPr>
            <w:r w:rsidRPr="0003605B">
              <w:rPr>
                <w:rFonts w:cs="Calibri Light"/>
                <w:b/>
                <w:lang w:val="en-US"/>
              </w:rPr>
              <w:t xml:space="preserve">4.1 </w:t>
            </w:r>
            <w:r>
              <w:rPr>
                <w:rFonts w:cs="Calibri Light"/>
                <w:b/>
                <w:lang w:val="en-US"/>
              </w:rPr>
              <w:t>Rrënja e shkakut</w:t>
            </w:r>
          </w:p>
          <w:p w14:paraId="3EEC1311" w14:textId="076D9494" w:rsidR="0003605B" w:rsidRPr="0003605B" w:rsidRDefault="000B74CD" w:rsidP="0003605B">
            <w:pPr>
              <w:rPr>
                <w:rFonts w:cs="Calibri Light"/>
                <w:lang w:val="en-US"/>
              </w:rPr>
            </w:pPr>
            <w:r w:rsidRPr="000B74CD">
              <w:rPr>
                <w:rFonts w:cs="Calibri Light"/>
                <w:lang w:val="en"/>
              </w:rPr>
              <w:t xml:space="preserve">Shteti nuk </w:t>
            </w:r>
            <w:r>
              <w:rPr>
                <w:rFonts w:cs="Calibri Light"/>
                <w:lang w:val="en"/>
              </w:rPr>
              <w:t>e ka</w:t>
            </w:r>
            <w:r w:rsidRPr="000B74CD">
              <w:rPr>
                <w:rFonts w:cs="Calibri Light"/>
                <w:lang w:val="en"/>
              </w:rPr>
              <w:t xml:space="preserve"> harmoniz</w:t>
            </w:r>
            <w:r>
              <w:rPr>
                <w:rFonts w:cs="Calibri Light"/>
                <w:lang w:val="en"/>
              </w:rPr>
              <w:t>uar</w:t>
            </w:r>
            <w:r w:rsidRPr="000B74CD">
              <w:rPr>
                <w:rFonts w:cs="Calibri Light"/>
                <w:lang w:val="en"/>
              </w:rPr>
              <w:t xml:space="preserve"> ligjin tatimor në lidhje me aktivitetet ekonomike të OSHC-ve.</w:t>
            </w:r>
          </w:p>
        </w:tc>
      </w:tr>
      <w:tr w:rsidR="0003605B" w:rsidRPr="0003605B" w14:paraId="30C66A95" w14:textId="77777777" w:rsidTr="0003605B">
        <w:trPr>
          <w:trHeight w:val="800"/>
        </w:trPr>
        <w:tc>
          <w:tcPr>
            <w:tcW w:w="1784" w:type="dxa"/>
            <w:vMerge/>
          </w:tcPr>
          <w:p w14:paraId="1403BF79" w14:textId="77777777" w:rsidR="0003605B" w:rsidRPr="0003605B" w:rsidRDefault="0003605B" w:rsidP="0003605B">
            <w:pPr>
              <w:rPr>
                <w:rFonts w:cs="Calibri Light"/>
                <w:lang w:val="en-US"/>
              </w:rPr>
            </w:pPr>
          </w:p>
        </w:tc>
        <w:tc>
          <w:tcPr>
            <w:tcW w:w="2499" w:type="dxa"/>
            <w:vMerge/>
          </w:tcPr>
          <w:p w14:paraId="6ED53609" w14:textId="77777777" w:rsidR="0003605B" w:rsidRPr="0003605B" w:rsidRDefault="0003605B" w:rsidP="0003605B">
            <w:pPr>
              <w:rPr>
                <w:rFonts w:cs="Calibri Light"/>
                <w:b/>
                <w:lang w:val="en-US"/>
              </w:rPr>
            </w:pPr>
          </w:p>
        </w:tc>
        <w:tc>
          <w:tcPr>
            <w:tcW w:w="4779" w:type="dxa"/>
          </w:tcPr>
          <w:p w14:paraId="0486DBA4" w14:textId="4133E6CD" w:rsidR="0003605B" w:rsidRPr="0003605B" w:rsidRDefault="0003605B" w:rsidP="0003605B">
            <w:pPr>
              <w:rPr>
                <w:rFonts w:cs="Calibri Light"/>
                <w:b/>
                <w:lang w:val="en-US"/>
              </w:rPr>
            </w:pPr>
            <w:r w:rsidRPr="0003605B">
              <w:rPr>
                <w:rFonts w:cs="Calibri Light"/>
                <w:b/>
                <w:lang w:val="en-US"/>
              </w:rPr>
              <w:t xml:space="preserve">4.2 </w:t>
            </w:r>
            <w:r>
              <w:rPr>
                <w:rFonts w:cs="Calibri Light"/>
                <w:b/>
                <w:lang w:val="en-US"/>
              </w:rPr>
              <w:t>Rrënja e shkakut</w:t>
            </w:r>
          </w:p>
          <w:p w14:paraId="019AF570" w14:textId="4CA79FE3" w:rsidR="0003605B" w:rsidRPr="0003605B" w:rsidRDefault="000B74CD" w:rsidP="0003605B">
            <w:pPr>
              <w:rPr>
                <w:rFonts w:cs="Calibri Light"/>
                <w:b/>
                <w:lang w:val="en-US"/>
              </w:rPr>
            </w:pPr>
            <w:r w:rsidRPr="000B74CD">
              <w:rPr>
                <w:rFonts w:cs="Calibri Light"/>
                <w:lang w:val="en"/>
              </w:rPr>
              <w:t>Shteti nuk e ka sqaruar kornizën ligjore për rregullimin e aktiviteteve ekonomike të OSHC-ve.</w:t>
            </w:r>
          </w:p>
        </w:tc>
      </w:tr>
      <w:tr w:rsidR="0003605B" w:rsidRPr="0003605B" w14:paraId="1F4A6CBF" w14:textId="77777777" w:rsidTr="0003605B">
        <w:trPr>
          <w:trHeight w:val="800"/>
        </w:trPr>
        <w:tc>
          <w:tcPr>
            <w:tcW w:w="1784" w:type="dxa"/>
          </w:tcPr>
          <w:p w14:paraId="46F3A601" w14:textId="77777777" w:rsidR="0003605B" w:rsidRPr="0003605B" w:rsidRDefault="0003605B" w:rsidP="0003605B">
            <w:pPr>
              <w:rPr>
                <w:rFonts w:cs="Calibri Light"/>
                <w:lang w:val="en-US"/>
              </w:rPr>
            </w:pPr>
          </w:p>
        </w:tc>
        <w:tc>
          <w:tcPr>
            <w:tcW w:w="2499" w:type="dxa"/>
          </w:tcPr>
          <w:p w14:paraId="0C344B79" w14:textId="6054CE9D" w:rsidR="0003605B" w:rsidRPr="000B74CD" w:rsidRDefault="0003605B" w:rsidP="0003605B">
            <w:pPr>
              <w:rPr>
                <w:rFonts w:cs="Calibri Light"/>
                <w:b/>
                <w:lang w:val="de-DE"/>
              </w:rPr>
            </w:pPr>
            <w:r w:rsidRPr="000B74CD">
              <w:rPr>
                <w:rFonts w:cs="Calibri Light"/>
                <w:b/>
                <w:lang w:val="de-DE"/>
              </w:rPr>
              <w:t>5. Shkaku kryesor</w:t>
            </w:r>
          </w:p>
          <w:p w14:paraId="4D400752" w14:textId="7B3AAB80" w:rsidR="0003605B" w:rsidRPr="000B74CD" w:rsidRDefault="000B74CD" w:rsidP="0003605B">
            <w:pPr>
              <w:rPr>
                <w:rFonts w:cs="Calibri Light"/>
                <w:b/>
                <w:lang w:val="de-DE"/>
              </w:rPr>
            </w:pPr>
            <w:r w:rsidRPr="000B74CD">
              <w:rPr>
                <w:rFonts w:cs="Calibri Light"/>
              </w:rPr>
              <w:t>Mungesa e sistemit të bashkëfinancimit për OShC-të për fondet e BE-së.</w:t>
            </w:r>
          </w:p>
        </w:tc>
        <w:tc>
          <w:tcPr>
            <w:tcW w:w="4779" w:type="dxa"/>
          </w:tcPr>
          <w:p w14:paraId="2C65AEA1" w14:textId="0D3219BB" w:rsidR="0003605B" w:rsidRPr="000B74CD" w:rsidRDefault="0003605B" w:rsidP="0003605B">
            <w:pPr>
              <w:rPr>
                <w:rFonts w:cs="Calibri Light"/>
                <w:b/>
                <w:lang w:val="de-DE"/>
              </w:rPr>
            </w:pPr>
            <w:r w:rsidRPr="000B74CD">
              <w:rPr>
                <w:rFonts w:cs="Calibri Light"/>
                <w:b/>
                <w:lang w:val="de-DE"/>
              </w:rPr>
              <w:t>5.1 Rrënja e shkakut</w:t>
            </w:r>
          </w:p>
          <w:p w14:paraId="32B68649" w14:textId="74DC8851" w:rsidR="0003605B" w:rsidRPr="000B74CD" w:rsidRDefault="000B74CD" w:rsidP="0003605B">
            <w:pPr>
              <w:rPr>
                <w:rFonts w:cs="Calibri Light"/>
                <w:b/>
                <w:lang w:val="de-DE"/>
              </w:rPr>
            </w:pPr>
            <w:r w:rsidRPr="000B74CD">
              <w:rPr>
                <w:rFonts w:cs="Calibri Light"/>
                <w:lang w:val="de-DE"/>
              </w:rPr>
              <w:t>Shteti nuk ka zhvilluar procedura, kritere dhe rregulla për rregullimin e bashkëfinancimit për projektet e Bashkimit Evropian (BE-së).</w:t>
            </w:r>
          </w:p>
        </w:tc>
      </w:tr>
      <w:bookmarkEnd w:id="17"/>
    </w:tbl>
    <w:p w14:paraId="7B4CD375" w14:textId="6834556D" w:rsidR="00FC54A2" w:rsidRPr="0003605B" w:rsidRDefault="00FC54A2" w:rsidP="00BF0239">
      <w:pPr>
        <w:rPr>
          <w:rFonts w:cs="Calibri Light"/>
        </w:rPr>
      </w:pPr>
    </w:p>
    <w:p w14:paraId="0AFFA2E6" w14:textId="663F75E1" w:rsidR="00606DFC" w:rsidRPr="00082FA3" w:rsidRDefault="00CB6D1F" w:rsidP="00BF0239">
      <w:pPr>
        <w:rPr>
          <w:lang w:val="sq-AL"/>
        </w:rPr>
      </w:pPr>
      <w:r w:rsidRPr="00082FA3">
        <w:rPr>
          <w:rFonts w:cs="Calibri Light"/>
          <w:lang w:val="sq-AL"/>
        </w:rPr>
        <w:t>Për informacion më të detajuar të nxjerrë drejtpërdrejt nga Matrica e Monitorimit, referojuni tabelës në vijim.</w:t>
      </w:r>
    </w:p>
    <w:p w14:paraId="34A10F93" w14:textId="21DF4422" w:rsidR="00606DFC" w:rsidRPr="00082FA3" w:rsidRDefault="00606DFC" w:rsidP="00BF0239">
      <w:pPr>
        <w:rPr>
          <w:rFonts w:cs="Calibri Light"/>
          <w:lang w:val="sq-AL"/>
        </w:rPr>
      </w:pPr>
    </w:p>
    <w:tbl>
      <w:tblPr>
        <w:tblW w:w="9390" w:type="dxa"/>
        <w:tblInd w:w="-38" w:type="dxa"/>
        <w:tblLayout w:type="fixed"/>
        <w:tblLook w:val="0000" w:firstRow="0" w:lastRow="0" w:firstColumn="0" w:lastColumn="0" w:noHBand="0" w:noVBand="0"/>
      </w:tblPr>
      <w:tblGrid>
        <w:gridCol w:w="3919"/>
        <w:gridCol w:w="4658"/>
        <w:gridCol w:w="813"/>
      </w:tblGrid>
      <w:tr w:rsidR="001A38CA" w:rsidRPr="00082FA3" w14:paraId="35C777B8" w14:textId="77777777" w:rsidTr="00606DFC">
        <w:trPr>
          <w:trHeight w:val="299"/>
        </w:trPr>
        <w:tc>
          <w:tcPr>
            <w:tcW w:w="3919" w:type="dxa"/>
            <w:tcBorders>
              <w:top w:val="single" w:sz="6" w:space="0" w:color="auto"/>
              <w:left w:val="single" w:sz="6" w:space="0" w:color="auto"/>
              <w:bottom w:val="nil"/>
              <w:right w:val="nil"/>
            </w:tcBorders>
          </w:tcPr>
          <w:p w14:paraId="1072F6F4" w14:textId="77777777" w:rsidR="001A38CA" w:rsidRPr="00082FA3" w:rsidRDefault="001A38CA" w:rsidP="002C70EF">
            <w:pPr>
              <w:autoSpaceDE w:val="0"/>
              <w:autoSpaceDN w:val="0"/>
              <w:adjustRightInd w:val="0"/>
              <w:contextualSpacing w:val="0"/>
              <w:rPr>
                <w:rFonts w:cs="Segoe UI Semilight"/>
                <w:b/>
                <w:bCs/>
                <w:color w:val="000000"/>
                <w:sz w:val="28"/>
                <w:szCs w:val="28"/>
                <w:lang w:val="sq-AL"/>
              </w:rPr>
            </w:pPr>
            <w:r w:rsidRPr="00082FA3">
              <w:rPr>
                <w:rFonts w:cs="Segoe UI Semilight"/>
                <w:b/>
                <w:bCs/>
                <w:color w:val="000000"/>
                <w:sz w:val="28"/>
                <w:szCs w:val="28"/>
                <w:lang w:val="sq-AL"/>
              </w:rPr>
              <w:t xml:space="preserve">Matrica e Monitorimit </w:t>
            </w:r>
          </w:p>
        </w:tc>
        <w:tc>
          <w:tcPr>
            <w:tcW w:w="4658" w:type="dxa"/>
            <w:tcBorders>
              <w:top w:val="single" w:sz="6" w:space="0" w:color="auto"/>
              <w:left w:val="nil"/>
              <w:bottom w:val="nil"/>
              <w:right w:val="nil"/>
            </w:tcBorders>
          </w:tcPr>
          <w:p w14:paraId="2578B30D" w14:textId="77777777" w:rsidR="001A38CA" w:rsidRPr="00082FA3" w:rsidRDefault="001A38CA">
            <w:pPr>
              <w:autoSpaceDE w:val="0"/>
              <w:autoSpaceDN w:val="0"/>
              <w:adjustRightInd w:val="0"/>
              <w:contextualSpacing w:val="0"/>
              <w:jc w:val="center"/>
              <w:rPr>
                <w:rFonts w:cs="Segoe UI Semilight"/>
                <w:b/>
                <w:bCs/>
                <w:color w:val="000000"/>
                <w:sz w:val="28"/>
                <w:szCs w:val="28"/>
                <w:lang w:val="sq-AL"/>
              </w:rPr>
            </w:pPr>
          </w:p>
        </w:tc>
        <w:tc>
          <w:tcPr>
            <w:tcW w:w="813" w:type="dxa"/>
            <w:tcBorders>
              <w:top w:val="single" w:sz="6" w:space="0" w:color="auto"/>
              <w:left w:val="nil"/>
              <w:bottom w:val="nil"/>
              <w:right w:val="single" w:sz="6" w:space="0" w:color="auto"/>
            </w:tcBorders>
          </w:tcPr>
          <w:p w14:paraId="2279CD58" w14:textId="77777777" w:rsidR="001A38CA" w:rsidRPr="00082FA3" w:rsidRDefault="001A38CA">
            <w:pPr>
              <w:autoSpaceDE w:val="0"/>
              <w:autoSpaceDN w:val="0"/>
              <w:adjustRightInd w:val="0"/>
              <w:contextualSpacing w:val="0"/>
              <w:jc w:val="center"/>
              <w:rPr>
                <w:rFonts w:cs="Segoe UI Semilight"/>
                <w:b/>
                <w:bCs/>
                <w:color w:val="000000"/>
                <w:sz w:val="28"/>
                <w:szCs w:val="28"/>
                <w:lang w:val="sq-AL"/>
              </w:rPr>
            </w:pPr>
          </w:p>
        </w:tc>
      </w:tr>
      <w:tr w:rsidR="001A38CA" w:rsidRPr="00082FA3" w14:paraId="223AE016" w14:textId="77777777" w:rsidTr="00606DFC">
        <w:trPr>
          <w:trHeight w:val="299"/>
        </w:trPr>
        <w:tc>
          <w:tcPr>
            <w:tcW w:w="3919" w:type="dxa"/>
            <w:tcBorders>
              <w:top w:val="nil"/>
              <w:left w:val="single" w:sz="6" w:space="0" w:color="auto"/>
              <w:bottom w:val="single" w:sz="6" w:space="0" w:color="C0C0C0"/>
              <w:right w:val="nil"/>
            </w:tcBorders>
          </w:tcPr>
          <w:p w14:paraId="4048A403" w14:textId="77777777" w:rsidR="001A38CA" w:rsidRPr="00082FA3" w:rsidRDefault="001A38CA">
            <w:pPr>
              <w:autoSpaceDE w:val="0"/>
              <w:autoSpaceDN w:val="0"/>
              <w:adjustRightInd w:val="0"/>
              <w:contextualSpacing w:val="0"/>
              <w:jc w:val="center"/>
              <w:rPr>
                <w:rFonts w:cs="Segoe UI Semilight"/>
                <w:b/>
                <w:bCs/>
                <w:color w:val="000000"/>
                <w:sz w:val="28"/>
                <w:szCs w:val="28"/>
                <w:lang w:val="sq-AL"/>
              </w:rPr>
            </w:pPr>
          </w:p>
        </w:tc>
        <w:tc>
          <w:tcPr>
            <w:tcW w:w="4658" w:type="dxa"/>
            <w:tcBorders>
              <w:top w:val="nil"/>
              <w:left w:val="nil"/>
              <w:bottom w:val="single" w:sz="6" w:space="0" w:color="C0C0C0"/>
              <w:right w:val="nil"/>
            </w:tcBorders>
          </w:tcPr>
          <w:p w14:paraId="3DC8DC95" w14:textId="77777777" w:rsidR="001A38CA" w:rsidRPr="00082FA3" w:rsidRDefault="001A38CA">
            <w:pPr>
              <w:autoSpaceDE w:val="0"/>
              <w:autoSpaceDN w:val="0"/>
              <w:adjustRightInd w:val="0"/>
              <w:contextualSpacing w:val="0"/>
              <w:jc w:val="center"/>
              <w:rPr>
                <w:rFonts w:cs="Segoe UI Semilight"/>
                <w:b/>
                <w:bCs/>
                <w:color w:val="000000"/>
                <w:sz w:val="28"/>
                <w:szCs w:val="28"/>
                <w:lang w:val="sq-AL"/>
              </w:rPr>
            </w:pPr>
          </w:p>
        </w:tc>
        <w:tc>
          <w:tcPr>
            <w:tcW w:w="813" w:type="dxa"/>
            <w:tcBorders>
              <w:top w:val="nil"/>
              <w:left w:val="nil"/>
              <w:bottom w:val="single" w:sz="6" w:space="0" w:color="C0C0C0"/>
              <w:right w:val="single" w:sz="6" w:space="0" w:color="auto"/>
            </w:tcBorders>
          </w:tcPr>
          <w:p w14:paraId="5DC323A2" w14:textId="77777777" w:rsidR="001A38CA" w:rsidRPr="00082FA3" w:rsidRDefault="001A38CA">
            <w:pPr>
              <w:autoSpaceDE w:val="0"/>
              <w:autoSpaceDN w:val="0"/>
              <w:adjustRightInd w:val="0"/>
              <w:contextualSpacing w:val="0"/>
              <w:jc w:val="center"/>
              <w:rPr>
                <w:rFonts w:cs="Segoe UI Semilight"/>
                <w:b/>
                <w:bCs/>
                <w:color w:val="000000"/>
                <w:sz w:val="28"/>
                <w:szCs w:val="28"/>
                <w:lang w:val="sq-AL"/>
              </w:rPr>
            </w:pPr>
          </w:p>
        </w:tc>
      </w:tr>
      <w:tr w:rsidR="001A38CA" w:rsidRPr="00082FA3" w14:paraId="0C24D688" w14:textId="77777777" w:rsidTr="00606DFC">
        <w:trPr>
          <w:trHeight w:val="444"/>
        </w:trPr>
        <w:tc>
          <w:tcPr>
            <w:tcW w:w="3919" w:type="dxa"/>
            <w:tcBorders>
              <w:top w:val="nil"/>
              <w:left w:val="single" w:sz="6" w:space="0" w:color="auto"/>
              <w:bottom w:val="single" w:sz="6" w:space="0" w:color="auto"/>
              <w:right w:val="single" w:sz="6" w:space="0" w:color="auto"/>
            </w:tcBorders>
            <w:shd w:val="solid" w:color="808080" w:fill="auto"/>
          </w:tcPr>
          <w:p w14:paraId="47B3647D" w14:textId="77777777" w:rsidR="001A38CA" w:rsidRPr="00082FA3" w:rsidRDefault="001A38CA">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Veprimi</w:t>
            </w:r>
          </w:p>
        </w:tc>
        <w:tc>
          <w:tcPr>
            <w:tcW w:w="4658" w:type="dxa"/>
            <w:tcBorders>
              <w:top w:val="nil"/>
              <w:left w:val="single" w:sz="6" w:space="0" w:color="auto"/>
              <w:bottom w:val="single" w:sz="6" w:space="0" w:color="auto"/>
              <w:right w:val="single" w:sz="6" w:space="0" w:color="auto"/>
            </w:tcBorders>
            <w:shd w:val="solid" w:color="808080" w:fill="auto"/>
          </w:tcPr>
          <w:p w14:paraId="4822E79A" w14:textId="77777777" w:rsidR="001A38CA" w:rsidRPr="00082FA3" w:rsidRDefault="001A38CA">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Treguesi i Progresit</w:t>
            </w:r>
          </w:p>
        </w:tc>
        <w:tc>
          <w:tcPr>
            <w:tcW w:w="813" w:type="dxa"/>
            <w:tcBorders>
              <w:top w:val="nil"/>
              <w:left w:val="single" w:sz="6" w:space="0" w:color="auto"/>
              <w:bottom w:val="single" w:sz="6" w:space="0" w:color="auto"/>
              <w:right w:val="single" w:sz="6" w:space="0" w:color="auto"/>
            </w:tcBorders>
            <w:shd w:val="solid" w:color="808080" w:fill="auto"/>
          </w:tcPr>
          <w:p w14:paraId="7E1BD0C3" w14:textId="77777777" w:rsidR="001A38CA" w:rsidRPr="00082FA3" w:rsidRDefault="001A38CA">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 xml:space="preserve">Notimi </w:t>
            </w:r>
          </w:p>
        </w:tc>
      </w:tr>
      <w:tr w:rsidR="00606DFC" w:rsidRPr="00082FA3" w14:paraId="32895C0B" w14:textId="77777777" w:rsidTr="002C343C">
        <w:trPr>
          <w:trHeight w:val="620"/>
        </w:trPr>
        <w:tc>
          <w:tcPr>
            <w:tcW w:w="9390" w:type="dxa"/>
            <w:gridSpan w:val="3"/>
            <w:tcBorders>
              <w:top w:val="single" w:sz="6" w:space="0" w:color="auto"/>
              <w:left w:val="single" w:sz="6" w:space="0" w:color="auto"/>
              <w:bottom w:val="single" w:sz="6" w:space="0" w:color="auto"/>
              <w:right w:val="single" w:sz="6" w:space="0" w:color="auto"/>
            </w:tcBorders>
            <w:shd w:val="solid" w:color="333333" w:fill="auto"/>
          </w:tcPr>
          <w:p w14:paraId="47F58F5A" w14:textId="49F77FF1" w:rsidR="00606DFC" w:rsidRPr="00082FA3" w:rsidRDefault="00606DFC" w:rsidP="00606DFC">
            <w:pPr>
              <w:autoSpaceDE w:val="0"/>
              <w:autoSpaceDN w:val="0"/>
              <w:adjustRightInd w:val="0"/>
              <w:contextualSpacing w:val="0"/>
              <w:jc w:val="left"/>
              <w:rPr>
                <w:rFonts w:cs="Segoe UI Semilight"/>
                <w:color w:val="000000"/>
                <w:sz w:val="24"/>
                <w:szCs w:val="24"/>
                <w:lang w:val="sq-AL"/>
              </w:rPr>
            </w:pPr>
            <w:r w:rsidRPr="00082FA3">
              <w:rPr>
                <w:rFonts w:cs="Segoe UI Semilight"/>
                <w:b/>
                <w:bCs/>
                <w:color w:val="FFFFFF"/>
                <w:sz w:val="24"/>
                <w:szCs w:val="24"/>
                <w:lang w:val="sq-AL"/>
              </w:rPr>
              <w:t>Objektivi Strategjik: 3. Sistem i ndërtuar dhe kritere të përcaktuara për përkrahje financiare për OShC</w:t>
            </w:r>
          </w:p>
        </w:tc>
      </w:tr>
      <w:tr w:rsidR="001A38CA" w:rsidRPr="00082FA3" w14:paraId="51CF42B0" w14:textId="77777777" w:rsidTr="00606DFC">
        <w:trPr>
          <w:trHeight w:val="649"/>
        </w:trPr>
        <w:tc>
          <w:tcPr>
            <w:tcW w:w="8577" w:type="dxa"/>
            <w:gridSpan w:val="2"/>
            <w:tcBorders>
              <w:top w:val="single" w:sz="6" w:space="0" w:color="auto"/>
              <w:left w:val="single" w:sz="6" w:space="0" w:color="auto"/>
              <w:bottom w:val="single" w:sz="6" w:space="0" w:color="auto"/>
              <w:right w:val="nil"/>
            </w:tcBorders>
            <w:shd w:val="solid" w:color="C0C0C0" w:fill="auto"/>
          </w:tcPr>
          <w:p w14:paraId="5A9CDE7F" w14:textId="77777777" w:rsidR="001A38CA" w:rsidRPr="00082FA3" w:rsidRDefault="001A38CA">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3.1. Reformimi i legjislacionit për zbatim të përbashkët të projekteve</w:t>
            </w:r>
          </w:p>
        </w:tc>
        <w:tc>
          <w:tcPr>
            <w:tcW w:w="813" w:type="dxa"/>
            <w:tcBorders>
              <w:top w:val="single" w:sz="6" w:space="0" w:color="auto"/>
              <w:left w:val="nil"/>
              <w:bottom w:val="single" w:sz="6" w:space="0" w:color="auto"/>
              <w:right w:val="single" w:sz="6" w:space="0" w:color="auto"/>
            </w:tcBorders>
            <w:shd w:val="clear" w:color="auto" w:fill="BFBFBF" w:themeFill="background1" w:themeFillShade="BF"/>
          </w:tcPr>
          <w:p w14:paraId="4ADB155C" w14:textId="77777777" w:rsidR="001A38CA" w:rsidRPr="00082FA3" w:rsidRDefault="001A38CA">
            <w:pPr>
              <w:autoSpaceDE w:val="0"/>
              <w:autoSpaceDN w:val="0"/>
              <w:adjustRightInd w:val="0"/>
              <w:contextualSpacing w:val="0"/>
              <w:jc w:val="right"/>
              <w:rPr>
                <w:rFonts w:cs="Segoe UI Semilight"/>
                <w:color w:val="000000"/>
                <w:szCs w:val="20"/>
                <w:lang w:val="sq-AL"/>
              </w:rPr>
            </w:pPr>
          </w:p>
        </w:tc>
      </w:tr>
      <w:tr w:rsidR="001A38CA" w:rsidRPr="00082FA3" w14:paraId="35B053A6"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173E32BB"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lastRenderedPageBreak/>
              <w:t>3.1.1. Analizë e legjislacionit ekzistues për zbatim të përbashkët të projekteve</w:t>
            </w:r>
          </w:p>
        </w:tc>
        <w:tc>
          <w:tcPr>
            <w:tcW w:w="4658" w:type="dxa"/>
            <w:tcBorders>
              <w:top w:val="single" w:sz="6" w:space="0" w:color="auto"/>
              <w:left w:val="single" w:sz="6" w:space="0" w:color="auto"/>
              <w:bottom w:val="single" w:sz="6" w:space="0" w:color="auto"/>
              <w:right w:val="single" w:sz="6" w:space="0" w:color="auto"/>
            </w:tcBorders>
          </w:tcPr>
          <w:p w14:paraId="482CECC6"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analizuar legjislacioni ekzistues për zbatim të përbashkët të politikave dhe projekteve</w:t>
            </w:r>
          </w:p>
        </w:tc>
        <w:tc>
          <w:tcPr>
            <w:tcW w:w="813" w:type="dxa"/>
            <w:tcBorders>
              <w:top w:val="single" w:sz="6" w:space="0" w:color="auto"/>
              <w:left w:val="single" w:sz="6" w:space="0" w:color="auto"/>
              <w:bottom w:val="single" w:sz="6" w:space="0" w:color="auto"/>
              <w:right w:val="single" w:sz="6" w:space="0" w:color="auto"/>
            </w:tcBorders>
          </w:tcPr>
          <w:p w14:paraId="7E8454A6"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1A38CA" w:rsidRPr="00082FA3" w14:paraId="22420137"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4885DE25"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3.1.2. Përshtatja e legjislacionit konform nevojave të identifikuara përmes analizës</w:t>
            </w:r>
          </w:p>
        </w:tc>
        <w:tc>
          <w:tcPr>
            <w:tcW w:w="4658" w:type="dxa"/>
            <w:tcBorders>
              <w:top w:val="single" w:sz="6" w:space="0" w:color="auto"/>
              <w:left w:val="single" w:sz="6" w:space="0" w:color="auto"/>
              <w:bottom w:val="single" w:sz="6" w:space="0" w:color="auto"/>
              <w:right w:val="single" w:sz="6" w:space="0" w:color="auto"/>
            </w:tcBorders>
          </w:tcPr>
          <w:p w14:paraId="52A81F49"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përshtatur legjislacioni konform nevojave të identifikuara përmes analizës</w:t>
            </w:r>
          </w:p>
        </w:tc>
        <w:tc>
          <w:tcPr>
            <w:tcW w:w="813" w:type="dxa"/>
            <w:tcBorders>
              <w:top w:val="single" w:sz="6" w:space="0" w:color="auto"/>
              <w:left w:val="single" w:sz="6" w:space="0" w:color="auto"/>
              <w:bottom w:val="single" w:sz="6" w:space="0" w:color="auto"/>
              <w:right w:val="single" w:sz="6" w:space="0" w:color="auto"/>
            </w:tcBorders>
          </w:tcPr>
          <w:p w14:paraId="16C5184D"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1A38CA" w:rsidRPr="00082FA3" w14:paraId="62730B97" w14:textId="77777777" w:rsidTr="00606DFC">
        <w:trPr>
          <w:trHeight w:val="649"/>
        </w:trPr>
        <w:tc>
          <w:tcPr>
            <w:tcW w:w="8577" w:type="dxa"/>
            <w:gridSpan w:val="2"/>
            <w:tcBorders>
              <w:top w:val="single" w:sz="6" w:space="0" w:color="auto"/>
              <w:left w:val="single" w:sz="6" w:space="0" w:color="auto"/>
              <w:bottom w:val="single" w:sz="6" w:space="0" w:color="auto"/>
              <w:right w:val="nil"/>
            </w:tcBorders>
            <w:shd w:val="solid" w:color="C0C0C0" w:fill="auto"/>
          </w:tcPr>
          <w:p w14:paraId="59355A25" w14:textId="77777777" w:rsidR="001A38CA" w:rsidRPr="00082FA3" w:rsidRDefault="001A38CA">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3.2. Krijimi i mjedisit inkurajues për filantropi dhe sponzorizim</w:t>
            </w:r>
          </w:p>
        </w:tc>
        <w:tc>
          <w:tcPr>
            <w:tcW w:w="813" w:type="dxa"/>
            <w:tcBorders>
              <w:top w:val="single" w:sz="6" w:space="0" w:color="auto"/>
              <w:left w:val="nil"/>
              <w:bottom w:val="single" w:sz="6" w:space="0" w:color="auto"/>
              <w:right w:val="single" w:sz="6" w:space="0" w:color="auto"/>
            </w:tcBorders>
            <w:shd w:val="clear" w:color="auto" w:fill="BFBFBF" w:themeFill="background1" w:themeFillShade="BF"/>
          </w:tcPr>
          <w:p w14:paraId="40CF0EAE" w14:textId="77777777" w:rsidR="001A38CA" w:rsidRPr="00082FA3" w:rsidRDefault="001A38CA">
            <w:pPr>
              <w:autoSpaceDE w:val="0"/>
              <w:autoSpaceDN w:val="0"/>
              <w:adjustRightInd w:val="0"/>
              <w:contextualSpacing w:val="0"/>
              <w:jc w:val="right"/>
              <w:rPr>
                <w:rFonts w:cs="Segoe UI Semilight"/>
                <w:color w:val="000000"/>
                <w:szCs w:val="20"/>
                <w:lang w:val="sq-AL"/>
              </w:rPr>
            </w:pPr>
          </w:p>
        </w:tc>
      </w:tr>
      <w:tr w:rsidR="001A38CA" w:rsidRPr="00082FA3" w14:paraId="5A36CF3F"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72908CA6"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3.2.1. Hartimi dhe miratimi i koncept dokumentit për filantropi dhe sponsorizim</w:t>
            </w:r>
          </w:p>
        </w:tc>
        <w:tc>
          <w:tcPr>
            <w:tcW w:w="4658" w:type="dxa"/>
            <w:tcBorders>
              <w:top w:val="single" w:sz="6" w:space="0" w:color="auto"/>
              <w:left w:val="single" w:sz="6" w:space="0" w:color="auto"/>
              <w:bottom w:val="single" w:sz="6" w:space="0" w:color="auto"/>
              <w:right w:val="single" w:sz="6" w:space="0" w:color="auto"/>
            </w:tcBorders>
          </w:tcPr>
          <w:p w14:paraId="2E70B29E"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hartuar dhe miratuar ligji për filantropi dhe sponsorizim</w:t>
            </w:r>
          </w:p>
        </w:tc>
        <w:tc>
          <w:tcPr>
            <w:tcW w:w="813" w:type="dxa"/>
            <w:tcBorders>
              <w:top w:val="single" w:sz="6" w:space="0" w:color="auto"/>
              <w:left w:val="single" w:sz="6" w:space="0" w:color="auto"/>
              <w:bottom w:val="single" w:sz="6" w:space="0" w:color="auto"/>
              <w:right w:val="single" w:sz="6" w:space="0" w:color="auto"/>
            </w:tcBorders>
          </w:tcPr>
          <w:p w14:paraId="34812A0C"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1A38CA" w:rsidRPr="00082FA3" w14:paraId="273C3F89" w14:textId="77777777" w:rsidTr="00606DFC">
        <w:trPr>
          <w:trHeight w:val="649"/>
        </w:trPr>
        <w:tc>
          <w:tcPr>
            <w:tcW w:w="8577" w:type="dxa"/>
            <w:gridSpan w:val="2"/>
            <w:tcBorders>
              <w:top w:val="single" w:sz="6" w:space="0" w:color="auto"/>
              <w:left w:val="single" w:sz="6" w:space="0" w:color="auto"/>
              <w:bottom w:val="single" w:sz="6" w:space="0" w:color="auto"/>
              <w:right w:val="nil"/>
            </w:tcBorders>
            <w:shd w:val="solid" w:color="C0C0C0" w:fill="auto"/>
          </w:tcPr>
          <w:p w14:paraId="03B98945" w14:textId="77777777" w:rsidR="001A38CA" w:rsidRPr="00082FA3" w:rsidRDefault="001A38CA">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 xml:space="preserve">Masa/Nënobjektivi Strategjik: 3.3. Standardizimi i statusit për përfitim publik </w:t>
            </w:r>
          </w:p>
        </w:tc>
        <w:tc>
          <w:tcPr>
            <w:tcW w:w="813" w:type="dxa"/>
            <w:tcBorders>
              <w:top w:val="single" w:sz="6" w:space="0" w:color="auto"/>
              <w:left w:val="nil"/>
              <w:bottom w:val="single" w:sz="6" w:space="0" w:color="auto"/>
              <w:right w:val="single" w:sz="6" w:space="0" w:color="auto"/>
            </w:tcBorders>
            <w:shd w:val="clear" w:color="auto" w:fill="BFBFBF" w:themeFill="background1" w:themeFillShade="BF"/>
          </w:tcPr>
          <w:p w14:paraId="7A6C4912" w14:textId="77777777" w:rsidR="001A38CA" w:rsidRPr="00082FA3" w:rsidRDefault="001A38CA">
            <w:pPr>
              <w:autoSpaceDE w:val="0"/>
              <w:autoSpaceDN w:val="0"/>
              <w:adjustRightInd w:val="0"/>
              <w:contextualSpacing w:val="0"/>
              <w:jc w:val="right"/>
              <w:rPr>
                <w:rFonts w:cs="Segoe UI Semilight"/>
                <w:color w:val="000000"/>
                <w:szCs w:val="20"/>
                <w:lang w:val="sq-AL"/>
              </w:rPr>
            </w:pPr>
          </w:p>
        </w:tc>
      </w:tr>
      <w:tr w:rsidR="001A38CA" w:rsidRPr="00082FA3" w14:paraId="3E4F1165"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4D5E3852"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3.3.1. Harmonizimi i legjislacionit dhe statusit të të përfitimit publik</w:t>
            </w:r>
          </w:p>
        </w:tc>
        <w:tc>
          <w:tcPr>
            <w:tcW w:w="4658" w:type="dxa"/>
            <w:tcBorders>
              <w:top w:val="single" w:sz="6" w:space="0" w:color="auto"/>
              <w:left w:val="single" w:sz="6" w:space="0" w:color="auto"/>
              <w:bottom w:val="single" w:sz="6" w:space="0" w:color="auto"/>
              <w:right w:val="single" w:sz="6" w:space="0" w:color="auto"/>
            </w:tcBorders>
          </w:tcPr>
          <w:p w14:paraId="32A37B8E"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harmonizuar legjislacioni dhe mekanizmat e statusit të përfitimit publik</w:t>
            </w:r>
          </w:p>
        </w:tc>
        <w:tc>
          <w:tcPr>
            <w:tcW w:w="813" w:type="dxa"/>
            <w:tcBorders>
              <w:top w:val="single" w:sz="6" w:space="0" w:color="auto"/>
              <w:left w:val="single" w:sz="6" w:space="0" w:color="auto"/>
              <w:bottom w:val="single" w:sz="6" w:space="0" w:color="auto"/>
              <w:right w:val="single" w:sz="6" w:space="0" w:color="auto"/>
            </w:tcBorders>
          </w:tcPr>
          <w:p w14:paraId="44C7C14A"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1A38CA" w:rsidRPr="00082FA3" w14:paraId="7DD2EA8D" w14:textId="77777777" w:rsidTr="00606DFC">
        <w:trPr>
          <w:trHeight w:val="649"/>
        </w:trPr>
        <w:tc>
          <w:tcPr>
            <w:tcW w:w="8577" w:type="dxa"/>
            <w:gridSpan w:val="2"/>
            <w:tcBorders>
              <w:top w:val="single" w:sz="6" w:space="0" w:color="auto"/>
              <w:left w:val="single" w:sz="6" w:space="0" w:color="auto"/>
              <w:bottom w:val="single" w:sz="6" w:space="0" w:color="auto"/>
              <w:right w:val="nil"/>
            </w:tcBorders>
            <w:shd w:val="solid" w:color="C0C0C0" w:fill="auto"/>
          </w:tcPr>
          <w:p w14:paraId="7A5B1D8A" w14:textId="77777777" w:rsidR="001A38CA" w:rsidRPr="00082FA3" w:rsidRDefault="001A38CA">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3.4. Përfshirja e shoqërisë civile në mekanizmat për koordinim me donatorët</w:t>
            </w:r>
          </w:p>
        </w:tc>
        <w:tc>
          <w:tcPr>
            <w:tcW w:w="813" w:type="dxa"/>
            <w:tcBorders>
              <w:top w:val="single" w:sz="6" w:space="0" w:color="auto"/>
              <w:left w:val="nil"/>
              <w:bottom w:val="single" w:sz="6" w:space="0" w:color="auto"/>
              <w:right w:val="single" w:sz="6" w:space="0" w:color="auto"/>
            </w:tcBorders>
            <w:shd w:val="solid" w:color="C0C0C0" w:fill="auto"/>
          </w:tcPr>
          <w:p w14:paraId="6D87624C" w14:textId="77777777" w:rsidR="001A38CA" w:rsidRPr="00082FA3" w:rsidRDefault="001A38CA">
            <w:pPr>
              <w:autoSpaceDE w:val="0"/>
              <w:autoSpaceDN w:val="0"/>
              <w:adjustRightInd w:val="0"/>
              <w:contextualSpacing w:val="0"/>
              <w:jc w:val="right"/>
              <w:rPr>
                <w:rFonts w:cs="Segoe UI Semilight"/>
                <w:color w:val="000000"/>
                <w:szCs w:val="20"/>
                <w:lang w:val="sq-AL"/>
              </w:rPr>
            </w:pPr>
          </w:p>
        </w:tc>
      </w:tr>
      <w:tr w:rsidR="001A38CA" w:rsidRPr="00082FA3" w14:paraId="2D1B09FA"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1F7D27A0"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3.4.1. Hapja e mekanizmit ekzistues dhe bazës së të dhënave të donatorëve për kontribut dhe shfrytëzim nga OSHC-të</w:t>
            </w:r>
          </w:p>
        </w:tc>
        <w:tc>
          <w:tcPr>
            <w:tcW w:w="4658" w:type="dxa"/>
            <w:tcBorders>
              <w:top w:val="single" w:sz="6" w:space="0" w:color="auto"/>
              <w:left w:val="single" w:sz="6" w:space="0" w:color="auto"/>
              <w:bottom w:val="single" w:sz="6" w:space="0" w:color="auto"/>
              <w:right w:val="single" w:sz="6" w:space="0" w:color="auto"/>
            </w:tcBorders>
          </w:tcPr>
          <w:p w14:paraId="1F65D71B"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hapur baza e të dhënave të donatorëve për input dhe shfrytëzim nga OSHC</w:t>
            </w:r>
          </w:p>
        </w:tc>
        <w:tc>
          <w:tcPr>
            <w:tcW w:w="813" w:type="dxa"/>
            <w:tcBorders>
              <w:top w:val="single" w:sz="6" w:space="0" w:color="auto"/>
              <w:left w:val="single" w:sz="6" w:space="0" w:color="auto"/>
              <w:bottom w:val="single" w:sz="6" w:space="0" w:color="auto"/>
              <w:right w:val="single" w:sz="6" w:space="0" w:color="auto"/>
            </w:tcBorders>
          </w:tcPr>
          <w:p w14:paraId="20F9E035"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1A38CA" w:rsidRPr="00082FA3" w14:paraId="1F2557B3" w14:textId="77777777" w:rsidTr="00606DFC">
        <w:trPr>
          <w:trHeight w:val="649"/>
        </w:trPr>
        <w:tc>
          <w:tcPr>
            <w:tcW w:w="8577" w:type="dxa"/>
            <w:gridSpan w:val="2"/>
            <w:tcBorders>
              <w:top w:val="single" w:sz="6" w:space="0" w:color="auto"/>
              <w:left w:val="single" w:sz="6" w:space="0" w:color="auto"/>
              <w:bottom w:val="single" w:sz="6" w:space="0" w:color="auto"/>
              <w:right w:val="nil"/>
            </w:tcBorders>
            <w:shd w:val="solid" w:color="C0C0C0" w:fill="auto"/>
          </w:tcPr>
          <w:p w14:paraId="015A828F" w14:textId="77777777" w:rsidR="001A38CA" w:rsidRPr="00082FA3" w:rsidRDefault="001A38CA">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3.5. Përcaktimi i kritereve për dhënien dhe zbatimin e granteve nga fondet publike</w:t>
            </w:r>
          </w:p>
        </w:tc>
        <w:tc>
          <w:tcPr>
            <w:tcW w:w="813" w:type="dxa"/>
            <w:tcBorders>
              <w:top w:val="single" w:sz="6" w:space="0" w:color="auto"/>
              <w:left w:val="nil"/>
              <w:bottom w:val="single" w:sz="6" w:space="0" w:color="auto"/>
              <w:right w:val="single" w:sz="6" w:space="0" w:color="auto"/>
            </w:tcBorders>
            <w:shd w:val="solid" w:color="C0C0C0" w:fill="auto"/>
          </w:tcPr>
          <w:p w14:paraId="64655972" w14:textId="77777777" w:rsidR="001A38CA" w:rsidRPr="00082FA3" w:rsidRDefault="001A38CA">
            <w:pPr>
              <w:autoSpaceDE w:val="0"/>
              <w:autoSpaceDN w:val="0"/>
              <w:adjustRightInd w:val="0"/>
              <w:contextualSpacing w:val="0"/>
              <w:jc w:val="right"/>
              <w:rPr>
                <w:rFonts w:cs="Segoe UI Semilight"/>
                <w:color w:val="000000"/>
                <w:szCs w:val="20"/>
                <w:lang w:val="sq-AL"/>
              </w:rPr>
            </w:pPr>
          </w:p>
        </w:tc>
      </w:tr>
      <w:tr w:rsidR="001A38CA" w:rsidRPr="00082FA3" w14:paraId="468A86FE"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76A231C2"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3.5.1. Përcaktimi dhe zbatimi i modelit të përkrahjës financiare të shoqërisë civile nga fondet publike</w:t>
            </w:r>
          </w:p>
        </w:tc>
        <w:tc>
          <w:tcPr>
            <w:tcW w:w="4658" w:type="dxa"/>
            <w:tcBorders>
              <w:top w:val="single" w:sz="6" w:space="0" w:color="auto"/>
              <w:left w:val="single" w:sz="6" w:space="0" w:color="auto"/>
              <w:bottom w:val="single" w:sz="6" w:space="0" w:color="auto"/>
              <w:right w:val="single" w:sz="6" w:space="0" w:color="auto"/>
            </w:tcBorders>
          </w:tcPr>
          <w:p w14:paraId="475BE779"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përcaktuar modeli i përkrahjës financiare të shoqërisë civile nga fondet publike</w:t>
            </w:r>
          </w:p>
        </w:tc>
        <w:tc>
          <w:tcPr>
            <w:tcW w:w="813" w:type="dxa"/>
            <w:tcBorders>
              <w:top w:val="single" w:sz="6" w:space="0" w:color="auto"/>
              <w:left w:val="single" w:sz="6" w:space="0" w:color="auto"/>
              <w:bottom w:val="single" w:sz="6" w:space="0" w:color="auto"/>
              <w:right w:val="single" w:sz="6" w:space="0" w:color="auto"/>
            </w:tcBorders>
            <w:shd w:val="solid" w:color="FFFFFF" w:fill="auto"/>
          </w:tcPr>
          <w:p w14:paraId="2BCBDA82"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1A38CA" w:rsidRPr="00082FA3" w14:paraId="6FC39335" w14:textId="77777777" w:rsidTr="00606DFC">
        <w:trPr>
          <w:trHeight w:val="590"/>
        </w:trPr>
        <w:tc>
          <w:tcPr>
            <w:tcW w:w="3919" w:type="dxa"/>
            <w:tcBorders>
              <w:top w:val="single" w:sz="6" w:space="0" w:color="auto"/>
              <w:left w:val="single" w:sz="6" w:space="0" w:color="auto"/>
              <w:bottom w:val="single" w:sz="6" w:space="0" w:color="auto"/>
              <w:right w:val="single" w:sz="6" w:space="0" w:color="auto"/>
            </w:tcBorders>
          </w:tcPr>
          <w:p w14:paraId="4B6988FA"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3.5.2. Publikimi i raporteve mbi projektet përfituese të OSHC-ve dhe rezultatet e projekteve</w:t>
            </w:r>
          </w:p>
        </w:tc>
        <w:tc>
          <w:tcPr>
            <w:tcW w:w="4658" w:type="dxa"/>
            <w:tcBorders>
              <w:top w:val="single" w:sz="6" w:space="0" w:color="auto"/>
              <w:left w:val="single" w:sz="6" w:space="0" w:color="auto"/>
              <w:bottom w:val="single" w:sz="6" w:space="0" w:color="auto"/>
              <w:right w:val="single" w:sz="6" w:space="0" w:color="auto"/>
            </w:tcBorders>
          </w:tcPr>
          <w:p w14:paraId="2AB8BC55"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publikuar raporti mbi projektet përfituese të OSHC-ve dhe rezultatet e projekteve</w:t>
            </w:r>
          </w:p>
        </w:tc>
        <w:tc>
          <w:tcPr>
            <w:tcW w:w="813" w:type="dxa"/>
            <w:tcBorders>
              <w:top w:val="single" w:sz="6" w:space="0" w:color="auto"/>
              <w:left w:val="single" w:sz="6" w:space="0" w:color="auto"/>
              <w:bottom w:val="single" w:sz="6" w:space="0" w:color="auto"/>
              <w:right w:val="single" w:sz="6" w:space="0" w:color="auto"/>
            </w:tcBorders>
            <w:shd w:val="solid" w:color="FFFFFF" w:fill="auto"/>
          </w:tcPr>
          <w:p w14:paraId="0C1DD6BC"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1A38CA" w:rsidRPr="00082FA3" w14:paraId="06F29236" w14:textId="77777777" w:rsidTr="00606DFC">
        <w:trPr>
          <w:trHeight w:val="590"/>
        </w:trPr>
        <w:tc>
          <w:tcPr>
            <w:tcW w:w="3919" w:type="dxa"/>
            <w:tcBorders>
              <w:top w:val="single" w:sz="6" w:space="0" w:color="auto"/>
              <w:left w:val="single" w:sz="6" w:space="0" w:color="auto"/>
              <w:bottom w:val="single" w:sz="6" w:space="0" w:color="auto"/>
              <w:right w:val="single" w:sz="6" w:space="0" w:color="auto"/>
            </w:tcBorders>
          </w:tcPr>
          <w:p w14:paraId="3CF338D6"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 xml:space="preserve">3.5.3. Hartimi dhe miratimi Rregullorës mbi kriteret, standardet dhe procedurat e financimit publik të OJQ-ve </w:t>
            </w:r>
          </w:p>
        </w:tc>
        <w:tc>
          <w:tcPr>
            <w:tcW w:w="4658" w:type="dxa"/>
            <w:tcBorders>
              <w:top w:val="single" w:sz="6" w:space="0" w:color="auto"/>
              <w:left w:val="single" w:sz="6" w:space="0" w:color="auto"/>
              <w:bottom w:val="single" w:sz="6" w:space="0" w:color="auto"/>
              <w:right w:val="single" w:sz="6" w:space="0" w:color="auto"/>
            </w:tcBorders>
          </w:tcPr>
          <w:p w14:paraId="59D848D3"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 xml:space="preserve">Është në finalizim Rregullorja mbi kriteret, standardet dhe procedurat e financimit publik të OJQ-ve </w:t>
            </w:r>
          </w:p>
        </w:tc>
        <w:tc>
          <w:tcPr>
            <w:tcW w:w="813" w:type="dxa"/>
            <w:tcBorders>
              <w:top w:val="single" w:sz="6" w:space="0" w:color="auto"/>
              <w:left w:val="single" w:sz="6" w:space="0" w:color="auto"/>
              <w:bottom w:val="single" w:sz="6" w:space="0" w:color="auto"/>
              <w:right w:val="single" w:sz="6" w:space="0" w:color="auto"/>
            </w:tcBorders>
            <w:shd w:val="solid" w:color="FFFFFF" w:fill="auto"/>
          </w:tcPr>
          <w:p w14:paraId="596EB3BF"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1A38CA" w:rsidRPr="00082FA3" w14:paraId="28F03C9D" w14:textId="77777777" w:rsidTr="00606DFC">
        <w:trPr>
          <w:trHeight w:val="590"/>
        </w:trPr>
        <w:tc>
          <w:tcPr>
            <w:tcW w:w="3919" w:type="dxa"/>
            <w:tcBorders>
              <w:top w:val="single" w:sz="6" w:space="0" w:color="auto"/>
              <w:left w:val="single" w:sz="6" w:space="0" w:color="auto"/>
              <w:bottom w:val="single" w:sz="6" w:space="0" w:color="auto"/>
              <w:right w:val="single" w:sz="6" w:space="0" w:color="auto"/>
            </w:tcBorders>
          </w:tcPr>
          <w:p w14:paraId="22DFE3B5" w14:textId="083826FC"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3.5.4. Përkrahje e projekteve/</w:t>
            </w:r>
            <w:r w:rsidR="00606DFC" w:rsidRPr="00082FA3">
              <w:rPr>
                <w:rFonts w:cs="Segoe UI Semilight"/>
                <w:color w:val="000000"/>
                <w:szCs w:val="20"/>
                <w:lang w:val="sq-AL"/>
              </w:rPr>
              <w:t xml:space="preserve"> </w:t>
            </w:r>
            <w:r w:rsidRPr="00082FA3">
              <w:rPr>
                <w:rFonts w:cs="Segoe UI Semilight"/>
                <w:color w:val="000000"/>
                <w:szCs w:val="20"/>
                <w:lang w:val="sq-AL"/>
              </w:rPr>
              <w:t>bashkëfinancim i OSHCve me përqindje të caktuar për fondet e BE-së për shoqëri civile</w:t>
            </w:r>
          </w:p>
        </w:tc>
        <w:tc>
          <w:tcPr>
            <w:tcW w:w="4658" w:type="dxa"/>
            <w:tcBorders>
              <w:top w:val="single" w:sz="6" w:space="0" w:color="auto"/>
              <w:left w:val="single" w:sz="6" w:space="0" w:color="auto"/>
              <w:bottom w:val="single" w:sz="6" w:space="0" w:color="auto"/>
              <w:right w:val="single" w:sz="6" w:space="0" w:color="auto"/>
            </w:tcBorders>
          </w:tcPr>
          <w:p w14:paraId="022F522D"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Janë përkrahur projektet e OSHC me përqindje të caktuar</w:t>
            </w:r>
          </w:p>
        </w:tc>
        <w:tc>
          <w:tcPr>
            <w:tcW w:w="813" w:type="dxa"/>
            <w:tcBorders>
              <w:top w:val="single" w:sz="6" w:space="0" w:color="auto"/>
              <w:left w:val="single" w:sz="6" w:space="0" w:color="auto"/>
              <w:bottom w:val="single" w:sz="6" w:space="0" w:color="auto"/>
              <w:right w:val="single" w:sz="6" w:space="0" w:color="auto"/>
            </w:tcBorders>
            <w:shd w:val="solid" w:color="FFFFFF" w:fill="auto"/>
          </w:tcPr>
          <w:p w14:paraId="6C703D65"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w:t>
            </w:r>
          </w:p>
        </w:tc>
      </w:tr>
      <w:tr w:rsidR="001A38CA" w:rsidRPr="00082FA3" w14:paraId="4E83F6A1" w14:textId="77777777" w:rsidTr="00606DFC">
        <w:trPr>
          <w:trHeight w:val="649"/>
        </w:trPr>
        <w:tc>
          <w:tcPr>
            <w:tcW w:w="8577" w:type="dxa"/>
            <w:gridSpan w:val="2"/>
            <w:tcBorders>
              <w:top w:val="single" w:sz="6" w:space="0" w:color="auto"/>
              <w:left w:val="single" w:sz="6" w:space="0" w:color="auto"/>
              <w:bottom w:val="single" w:sz="6" w:space="0" w:color="auto"/>
              <w:right w:val="nil"/>
            </w:tcBorders>
            <w:shd w:val="solid" w:color="C0C0C0" w:fill="auto"/>
          </w:tcPr>
          <w:p w14:paraId="23521340" w14:textId="77777777" w:rsidR="001A38CA" w:rsidRPr="00082FA3" w:rsidRDefault="001A38CA">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3.6. Përcaktimi i kritereve për përkrahjen jo financiare për OShC</w:t>
            </w:r>
          </w:p>
        </w:tc>
        <w:tc>
          <w:tcPr>
            <w:tcW w:w="813" w:type="dxa"/>
            <w:tcBorders>
              <w:top w:val="single" w:sz="6" w:space="0" w:color="auto"/>
              <w:left w:val="nil"/>
              <w:bottom w:val="single" w:sz="6" w:space="0" w:color="auto"/>
              <w:right w:val="single" w:sz="6" w:space="0" w:color="auto"/>
            </w:tcBorders>
            <w:shd w:val="solid" w:color="C0C0C0" w:fill="auto"/>
          </w:tcPr>
          <w:p w14:paraId="4589B224" w14:textId="77777777" w:rsidR="001A38CA" w:rsidRPr="00082FA3" w:rsidRDefault="001A38CA">
            <w:pPr>
              <w:autoSpaceDE w:val="0"/>
              <w:autoSpaceDN w:val="0"/>
              <w:adjustRightInd w:val="0"/>
              <w:contextualSpacing w:val="0"/>
              <w:jc w:val="right"/>
              <w:rPr>
                <w:rFonts w:cs="Segoe UI Semilight"/>
                <w:color w:val="000000"/>
                <w:szCs w:val="20"/>
                <w:lang w:val="sq-AL"/>
              </w:rPr>
            </w:pPr>
          </w:p>
        </w:tc>
      </w:tr>
      <w:tr w:rsidR="001A38CA" w:rsidRPr="00082FA3" w14:paraId="2495F815" w14:textId="77777777" w:rsidTr="00606DFC">
        <w:trPr>
          <w:trHeight w:val="561"/>
        </w:trPr>
        <w:tc>
          <w:tcPr>
            <w:tcW w:w="3919" w:type="dxa"/>
            <w:tcBorders>
              <w:top w:val="single" w:sz="6" w:space="0" w:color="auto"/>
              <w:left w:val="single" w:sz="6" w:space="0" w:color="auto"/>
              <w:bottom w:val="single" w:sz="6" w:space="0" w:color="auto"/>
              <w:right w:val="single" w:sz="6" w:space="0" w:color="auto"/>
            </w:tcBorders>
          </w:tcPr>
          <w:p w14:paraId="37995961"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3.6.1. Analiza e legjislacionit të tanishëm që rregullon mënyrën e përkrahjes jo-financiare</w:t>
            </w:r>
          </w:p>
        </w:tc>
        <w:tc>
          <w:tcPr>
            <w:tcW w:w="4658" w:type="dxa"/>
            <w:tcBorders>
              <w:top w:val="single" w:sz="6" w:space="0" w:color="auto"/>
              <w:left w:val="single" w:sz="6" w:space="0" w:color="auto"/>
              <w:bottom w:val="single" w:sz="6" w:space="0" w:color="auto"/>
              <w:right w:val="single" w:sz="6" w:space="0" w:color="auto"/>
            </w:tcBorders>
          </w:tcPr>
          <w:p w14:paraId="11069E61" w14:textId="77777777" w:rsidR="001A38CA" w:rsidRPr="00082FA3" w:rsidRDefault="001A38CA">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Është analizuar legjislacioni i tanishëm që rregullon mënyrën e përkrahjes jo financiare</w:t>
            </w:r>
          </w:p>
        </w:tc>
        <w:tc>
          <w:tcPr>
            <w:tcW w:w="813" w:type="dxa"/>
            <w:tcBorders>
              <w:top w:val="single" w:sz="6" w:space="0" w:color="auto"/>
              <w:left w:val="single" w:sz="6" w:space="0" w:color="auto"/>
              <w:bottom w:val="single" w:sz="6" w:space="0" w:color="auto"/>
              <w:right w:val="single" w:sz="6" w:space="0" w:color="auto"/>
            </w:tcBorders>
          </w:tcPr>
          <w:p w14:paraId="45F6B54C" w14:textId="77777777" w:rsidR="001A38CA" w:rsidRPr="00082FA3" w:rsidRDefault="001A38CA">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w:t>
            </w:r>
          </w:p>
        </w:tc>
      </w:tr>
    </w:tbl>
    <w:p w14:paraId="66E74415" w14:textId="41796A83" w:rsidR="00514D90" w:rsidRDefault="00514D90" w:rsidP="00C87B1A">
      <w:pPr>
        <w:jc w:val="center"/>
        <w:rPr>
          <w:lang w:val="sq-AL"/>
        </w:rPr>
      </w:pPr>
    </w:p>
    <w:p w14:paraId="690EE195" w14:textId="77777777" w:rsidR="0038704A" w:rsidRDefault="0038704A" w:rsidP="00082FA3">
      <w:pPr>
        <w:rPr>
          <w:lang w:val="sq-AL"/>
        </w:rPr>
      </w:pPr>
    </w:p>
    <w:p w14:paraId="2FE9ED95" w14:textId="07ECC5A0" w:rsidR="007752F1" w:rsidRPr="00082FA3" w:rsidRDefault="00907367" w:rsidP="00CB6D1F">
      <w:pPr>
        <w:shd w:val="clear" w:color="auto" w:fill="C9FFFF"/>
        <w:rPr>
          <w:rFonts w:cs="Calibri Light"/>
          <w:lang w:val="sq-AL"/>
        </w:rPr>
      </w:pPr>
      <w:r w:rsidRPr="00082FA3">
        <w:rPr>
          <w:rFonts w:cs="Calibri Light"/>
          <w:b/>
          <w:lang w:val="sq-AL"/>
        </w:rPr>
        <w:t xml:space="preserve">2.2.4 </w:t>
      </w:r>
      <w:r w:rsidR="00CB6D1F" w:rsidRPr="00082FA3">
        <w:rPr>
          <w:rFonts w:cs="Calibri Light"/>
          <w:b/>
          <w:lang w:val="sq-AL"/>
        </w:rPr>
        <w:t>Objektivi Strategjik</w:t>
      </w:r>
      <w:r w:rsidRPr="00082FA3">
        <w:rPr>
          <w:rFonts w:cs="Calibri Light"/>
          <w:b/>
          <w:lang w:val="sq-AL"/>
        </w:rPr>
        <w:t xml:space="preserve"> 4:</w:t>
      </w:r>
      <w:r w:rsidRPr="00082FA3">
        <w:rPr>
          <w:rFonts w:cs="Calibri Light"/>
          <w:lang w:val="sq-AL"/>
        </w:rPr>
        <w:t xml:space="preserve"> </w:t>
      </w:r>
      <w:r w:rsidR="00CB6D1F" w:rsidRPr="00082FA3">
        <w:rPr>
          <w:rFonts w:cs="Calibri Light"/>
          <w:lang w:val="sq-AL"/>
        </w:rPr>
        <w:t>Fuqizimi i qasjes së integruar në zhvillimin e vullnetarizmit</w:t>
      </w:r>
    </w:p>
    <w:p w14:paraId="36C1CF43" w14:textId="77777777" w:rsidR="00587636" w:rsidRPr="00082FA3" w:rsidRDefault="00587636" w:rsidP="00907367">
      <w:pPr>
        <w:rPr>
          <w:rFonts w:cs="Calibri Light"/>
          <w:lang w:val="sq-AL"/>
        </w:rPr>
      </w:pPr>
    </w:p>
    <w:p w14:paraId="5E15878D" w14:textId="154BC5B6" w:rsidR="00587636" w:rsidRPr="00082FA3" w:rsidRDefault="00CB6D1F" w:rsidP="00907367">
      <w:pPr>
        <w:rPr>
          <w:rFonts w:cs="Calibri Light"/>
          <w:lang w:val="sq-AL"/>
        </w:rPr>
      </w:pPr>
      <w:r w:rsidRPr="00082FA3">
        <w:rPr>
          <w:rFonts w:cs="Calibri Light"/>
          <w:lang w:val="sq-AL"/>
        </w:rPr>
        <w:t xml:space="preserve">Zbatimi i këtij objektivi strategjik ka arritur një nivel progresi prej </w:t>
      </w:r>
      <w:r w:rsidRPr="00082FA3">
        <w:rPr>
          <w:rFonts w:cs="Calibri Light"/>
          <w:b/>
          <w:lang w:val="sq-AL"/>
        </w:rPr>
        <w:t>83 përqind</w:t>
      </w:r>
      <w:r w:rsidRPr="00082FA3">
        <w:rPr>
          <w:rFonts w:cs="Calibri Light"/>
          <w:lang w:val="sq-AL"/>
        </w:rPr>
        <w:t xml:space="preserve"> sa i përket promovimit të një qasjeje të integruar për zhvillimin e vullnetarizmit në vend.</w:t>
      </w:r>
    </w:p>
    <w:p w14:paraId="16EC8799" w14:textId="77777777" w:rsidR="00CB6D1F" w:rsidRPr="00082FA3" w:rsidRDefault="00CB6D1F" w:rsidP="00907367">
      <w:pPr>
        <w:rPr>
          <w:rFonts w:cs="Calibri Light"/>
          <w:lang w:val="sq-AL"/>
        </w:rPr>
      </w:pPr>
    </w:p>
    <w:p w14:paraId="53D8FB01" w14:textId="705E0D16" w:rsidR="009A2547" w:rsidRPr="00082FA3" w:rsidRDefault="009A2547" w:rsidP="009A2547">
      <w:pPr>
        <w:pStyle w:val="ListParagraph"/>
        <w:numPr>
          <w:ilvl w:val="0"/>
          <w:numId w:val="12"/>
        </w:numPr>
        <w:rPr>
          <w:rFonts w:cs="Calibri Light"/>
          <w:lang w:val="sq-AL"/>
        </w:rPr>
      </w:pPr>
      <w:r w:rsidRPr="00082FA3">
        <w:rPr>
          <w:rFonts w:cs="Calibri Light"/>
          <w:lang w:val="sq-AL"/>
        </w:rPr>
        <w:t xml:space="preserve">Grupi Punues i Përbashkët për Zhvillimin e Vullnetarizmit është themeluar në 15 Nëntor 2015. Ndërkohë që anëtarët e grupit punues që përfaqësojnë qeverinë janë emëruar me vendim të qeverisë, përzgjedhja e anëtarëve të shoqërisë civile është rregulluar përmes koordinatorit të </w:t>
      </w:r>
      <w:r w:rsidRPr="00082FA3">
        <w:rPr>
          <w:rFonts w:cs="Calibri Light"/>
          <w:lang w:val="sq-AL"/>
        </w:rPr>
        <w:lastRenderedPageBreak/>
        <w:t>grupit.</w:t>
      </w:r>
      <w:r w:rsidRPr="00082FA3">
        <w:rPr>
          <w:rStyle w:val="FootnoteReference"/>
          <w:rFonts w:cs="Calibri Light"/>
          <w:lang w:val="sq-AL"/>
        </w:rPr>
        <w:t xml:space="preserve"> </w:t>
      </w:r>
      <w:r w:rsidRPr="00082FA3">
        <w:rPr>
          <w:rStyle w:val="FootnoteReference"/>
          <w:rFonts w:cs="Calibri Light"/>
          <w:lang w:val="sq-AL"/>
        </w:rPr>
        <w:footnoteReference w:id="29"/>
      </w:r>
      <w:r w:rsidRPr="00082FA3">
        <w:rPr>
          <w:rFonts w:cs="Calibri Light"/>
          <w:lang w:val="sq-AL"/>
        </w:rPr>
        <w:t xml:space="preserve">  Ky grup pune ka qenë jashtëzakonisht joaktiv dhe nuk ka mbajtur takime pas takimit informativ fillestar.</w:t>
      </w:r>
    </w:p>
    <w:p w14:paraId="02F86EEA" w14:textId="77777777" w:rsidR="003040FE" w:rsidRPr="00082FA3" w:rsidRDefault="003040FE" w:rsidP="003040FE">
      <w:pPr>
        <w:pStyle w:val="ListParagraph"/>
        <w:rPr>
          <w:rFonts w:cs="Calibri Light"/>
          <w:lang w:val="sq-AL"/>
        </w:rPr>
      </w:pPr>
    </w:p>
    <w:p w14:paraId="2ECB0DDE" w14:textId="39981248" w:rsidR="009A2547" w:rsidRPr="00082FA3" w:rsidRDefault="009A2547" w:rsidP="009A2547">
      <w:pPr>
        <w:pStyle w:val="ListParagraph"/>
        <w:numPr>
          <w:ilvl w:val="0"/>
          <w:numId w:val="7"/>
        </w:numPr>
        <w:rPr>
          <w:rFonts w:cs="Calibri Light"/>
          <w:lang w:val="sq-AL"/>
        </w:rPr>
      </w:pPr>
      <w:r w:rsidRPr="00082FA3">
        <w:rPr>
          <w:rFonts w:cs="Calibri Light"/>
          <w:lang w:val="sq-AL"/>
        </w:rPr>
        <w:t xml:space="preserve">Është bërë analiza ligjore dhe studimi mbi vullnetarizmin. Ato përbëhen nga një vlerësim i nevojave dhe një profil i vullnetarizmit. Janë organizuar disa aktivitete në formë të </w:t>
      </w:r>
      <w:r w:rsidR="00981584" w:rsidRPr="00082FA3">
        <w:rPr>
          <w:rFonts w:cs="Calibri Light"/>
          <w:lang w:val="sq-AL"/>
        </w:rPr>
        <w:t>sesioneve të punës</w:t>
      </w:r>
      <w:r w:rsidRPr="00082FA3">
        <w:rPr>
          <w:rFonts w:cs="Calibri Light"/>
          <w:lang w:val="sq-AL"/>
        </w:rPr>
        <w:t xml:space="preserve"> dhe fokus grupeve të cilat kanë ndihmuar në form</w:t>
      </w:r>
      <w:r w:rsidR="00981584" w:rsidRPr="00082FA3">
        <w:rPr>
          <w:rFonts w:cs="Calibri Light"/>
          <w:lang w:val="sq-AL"/>
        </w:rPr>
        <w:t>ësimin</w:t>
      </w:r>
      <w:r w:rsidRPr="00082FA3">
        <w:rPr>
          <w:rFonts w:cs="Calibri Light"/>
          <w:lang w:val="sq-AL"/>
        </w:rPr>
        <w:t xml:space="preserve"> e këtyre studimeve. Përveç kësaj, është hartuar një analizë e politikave që plotëson </w:t>
      </w:r>
      <w:r w:rsidRPr="00082FA3">
        <w:rPr>
          <w:rFonts w:cs="Calibri Light"/>
          <w:i/>
          <w:lang w:val="sq-AL"/>
        </w:rPr>
        <w:t>studimin mbi vullnetarizmin</w:t>
      </w:r>
      <w:r w:rsidRPr="00082FA3">
        <w:rPr>
          <w:rFonts w:cs="Calibri Light"/>
          <w:lang w:val="sq-AL"/>
        </w:rPr>
        <w:t xml:space="preserve">, i cili do të përdoret për të ofruar një udhërrëfyes për hartimin e Ligjit për Vullnetarizëm. Në përgjithësi, këto studime përshkruajnë perspektivat </w:t>
      </w:r>
      <w:r w:rsidR="00981584" w:rsidRPr="00082FA3">
        <w:rPr>
          <w:rFonts w:cs="Calibri Light"/>
          <w:lang w:val="sq-AL"/>
        </w:rPr>
        <w:t>vendore dhe ndërkombëtare se si të r</w:t>
      </w:r>
      <w:r w:rsidRPr="00082FA3">
        <w:rPr>
          <w:rFonts w:cs="Calibri Light"/>
          <w:lang w:val="sq-AL"/>
        </w:rPr>
        <w:t>regull</w:t>
      </w:r>
      <w:r w:rsidR="00981584" w:rsidRPr="00082FA3">
        <w:rPr>
          <w:rFonts w:cs="Calibri Light"/>
          <w:lang w:val="sq-AL"/>
        </w:rPr>
        <w:t>ohet, nxitjet</w:t>
      </w:r>
      <w:r w:rsidRPr="00082FA3">
        <w:rPr>
          <w:rFonts w:cs="Calibri Light"/>
          <w:lang w:val="sq-AL"/>
        </w:rPr>
        <w:t xml:space="preserve"> dhe promov</w:t>
      </w:r>
      <w:r w:rsidR="00981584" w:rsidRPr="00082FA3">
        <w:rPr>
          <w:rFonts w:cs="Calibri Light"/>
          <w:lang w:val="sq-AL"/>
        </w:rPr>
        <w:t>ohet</w:t>
      </w:r>
      <w:r w:rsidRPr="00082FA3">
        <w:rPr>
          <w:rFonts w:cs="Calibri Light"/>
          <w:lang w:val="sq-AL"/>
        </w:rPr>
        <w:t xml:space="preserve"> vullnetarizmi në vend.</w:t>
      </w:r>
    </w:p>
    <w:p w14:paraId="1A021C3D" w14:textId="77777777" w:rsidR="00606DFC" w:rsidRPr="00082FA3" w:rsidRDefault="00606DFC" w:rsidP="00606DFC">
      <w:pPr>
        <w:pStyle w:val="ListParagraph"/>
        <w:rPr>
          <w:rFonts w:cs="Calibri Light"/>
          <w:lang w:val="sq-AL"/>
        </w:rPr>
      </w:pPr>
    </w:p>
    <w:p w14:paraId="536DFE16" w14:textId="5E021FF5" w:rsidR="00981584" w:rsidRPr="00082FA3" w:rsidRDefault="00981584" w:rsidP="00B958A1">
      <w:pPr>
        <w:rPr>
          <w:rFonts w:cs="Calibri Light"/>
          <w:lang w:val="sq-AL"/>
        </w:rPr>
      </w:pPr>
      <w:r w:rsidRPr="00082FA3">
        <w:rPr>
          <w:rFonts w:cs="Calibri Light"/>
          <w:lang w:val="sq-AL"/>
        </w:rPr>
        <w:t>Për dallim nga vlerësimet e matricës së monitorimit, sistemi i vlerësimit me semafor tregon se duhet ndërmarrë veprime të caktuara për të arritur nivelin e progresit të raportuar nga Sekretariati. Siç tregohet në tabelën e mëposhtme, nën-objektivat arrijnë një nivel shumë të ulët të progresit. Shumica e aktiviteteve kanë të bëjnë me studimet e përgatitura në analizën ligjore, profilin e vendit dhe dokumentin e politikave për me zhvillimin e vullnetarizmit.</w:t>
      </w:r>
    </w:p>
    <w:p w14:paraId="1290E501" w14:textId="77777777" w:rsidR="00606DFC" w:rsidRPr="00082FA3" w:rsidRDefault="00606DFC" w:rsidP="00B958A1">
      <w:pPr>
        <w:rPr>
          <w:rFonts w:cs="Calibri Light"/>
          <w:lang w:val="sq-AL"/>
        </w:rPr>
      </w:pPr>
    </w:p>
    <w:tbl>
      <w:tblPr>
        <w:tblStyle w:val="TableGridLight1"/>
        <w:tblW w:w="9085" w:type="dxa"/>
        <w:tblLook w:val="04A0" w:firstRow="1" w:lastRow="0" w:firstColumn="1" w:lastColumn="0" w:noHBand="0" w:noVBand="1"/>
      </w:tblPr>
      <w:tblGrid>
        <w:gridCol w:w="708"/>
        <w:gridCol w:w="4994"/>
        <w:gridCol w:w="3383"/>
      </w:tblGrid>
      <w:tr w:rsidR="00B958A1" w:rsidRPr="00082FA3" w14:paraId="65EFA280" w14:textId="77777777" w:rsidTr="00B958A1">
        <w:trPr>
          <w:trHeight w:val="488"/>
        </w:trPr>
        <w:tc>
          <w:tcPr>
            <w:tcW w:w="708" w:type="dxa"/>
            <w:shd w:val="clear" w:color="auto" w:fill="F2F2F2" w:themeFill="background1" w:themeFillShade="F2"/>
            <w:vAlign w:val="center"/>
          </w:tcPr>
          <w:p w14:paraId="51FECB1A" w14:textId="77777777" w:rsidR="00B958A1" w:rsidRPr="00082FA3" w:rsidRDefault="00B958A1" w:rsidP="00B958A1">
            <w:pPr>
              <w:jc w:val="center"/>
              <w:rPr>
                <w:rFonts w:cs="Calibri Light"/>
                <w:sz w:val="18"/>
                <w:szCs w:val="18"/>
                <w:lang w:val="sq-AL"/>
              </w:rPr>
            </w:pPr>
            <w:r w:rsidRPr="00082FA3">
              <w:rPr>
                <w:rFonts w:cs="Calibri Light"/>
                <w:sz w:val="18"/>
                <w:szCs w:val="18"/>
                <w:lang w:val="sq-AL"/>
              </w:rPr>
              <w:br/>
            </w:r>
          </w:p>
        </w:tc>
        <w:tc>
          <w:tcPr>
            <w:tcW w:w="4994" w:type="dxa"/>
            <w:shd w:val="clear" w:color="auto" w:fill="F2F2F2" w:themeFill="background1" w:themeFillShade="F2"/>
            <w:vAlign w:val="center"/>
          </w:tcPr>
          <w:p w14:paraId="36C27D63" w14:textId="457614EC" w:rsidR="00B958A1" w:rsidRPr="00082FA3" w:rsidRDefault="00B958A1" w:rsidP="00B958A1">
            <w:pPr>
              <w:rPr>
                <w:rFonts w:cs="Calibri Light"/>
                <w:sz w:val="18"/>
                <w:szCs w:val="18"/>
                <w:lang w:val="sq-AL"/>
              </w:rPr>
            </w:pPr>
            <w:r w:rsidRPr="00082FA3">
              <w:rPr>
                <w:rFonts w:cs="Calibri Light"/>
                <w:szCs w:val="20"/>
                <w:lang w:val="sq-AL"/>
              </w:rPr>
              <w:t>Obje</w:t>
            </w:r>
            <w:r w:rsidR="00981584" w:rsidRPr="00082FA3">
              <w:rPr>
                <w:rFonts w:cs="Calibri Light"/>
                <w:szCs w:val="20"/>
                <w:lang w:val="sq-AL"/>
              </w:rPr>
              <w:t>ktivi</w:t>
            </w:r>
            <w:r w:rsidRPr="00082FA3">
              <w:rPr>
                <w:rFonts w:cs="Calibri Light"/>
                <w:szCs w:val="20"/>
                <w:lang w:val="sq-AL"/>
              </w:rPr>
              <w:t xml:space="preserve"> </w:t>
            </w:r>
          </w:p>
        </w:tc>
        <w:tc>
          <w:tcPr>
            <w:tcW w:w="3383" w:type="dxa"/>
            <w:shd w:val="clear" w:color="auto" w:fill="F2F2F2" w:themeFill="background1" w:themeFillShade="F2"/>
            <w:vAlign w:val="center"/>
          </w:tcPr>
          <w:p w14:paraId="5E5109BE" w14:textId="2290B555" w:rsidR="00B958A1" w:rsidRPr="00082FA3" w:rsidRDefault="00981584" w:rsidP="00B958A1">
            <w:pPr>
              <w:rPr>
                <w:rFonts w:cs="Calibri Light"/>
                <w:lang w:val="sq-AL"/>
              </w:rPr>
            </w:pPr>
            <w:r w:rsidRPr="00082FA3">
              <w:rPr>
                <w:rFonts w:cs="Calibri Light"/>
                <w:szCs w:val="20"/>
                <w:lang w:val="sq-AL"/>
              </w:rPr>
              <w:t>Veprimi</w:t>
            </w:r>
          </w:p>
        </w:tc>
      </w:tr>
      <w:tr w:rsidR="00B958A1" w:rsidRPr="00082FA3" w14:paraId="0E60AB86" w14:textId="77777777" w:rsidTr="00B958A1">
        <w:trPr>
          <w:trHeight w:val="488"/>
        </w:trPr>
        <w:tc>
          <w:tcPr>
            <w:tcW w:w="708" w:type="dxa"/>
            <w:shd w:val="clear" w:color="auto" w:fill="F2F2F2" w:themeFill="background1" w:themeFillShade="F2"/>
          </w:tcPr>
          <w:p w14:paraId="3539F898" w14:textId="77777777" w:rsidR="00B958A1" w:rsidRPr="00082FA3" w:rsidRDefault="00B958A1"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699200" behindDoc="0" locked="0" layoutInCell="1" allowOverlap="1" wp14:anchorId="14C94C1D" wp14:editId="20301E4F">
                      <wp:simplePos x="0" y="0"/>
                      <wp:positionH relativeFrom="column">
                        <wp:posOffset>57150</wp:posOffset>
                      </wp:positionH>
                      <wp:positionV relativeFrom="paragraph">
                        <wp:posOffset>38735</wp:posOffset>
                      </wp:positionV>
                      <wp:extent cx="236220" cy="228600"/>
                      <wp:effectExtent l="0" t="0" r="11430" b="19050"/>
                      <wp:wrapNone/>
                      <wp:docPr id="3" name="Flowchart: Connector 3"/>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2D752B" id="Flowchart: Connector 3" o:spid="_x0000_s1026" type="#_x0000_t120" style="position:absolute;margin-left:4.5pt;margin-top:3.05pt;width:18.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" fillcolor="#92d050" strokecolor="#7f7f7f [1612]" strokeweight="2pt"/>
                  </w:pict>
                </mc:Fallback>
              </mc:AlternateContent>
            </w:r>
          </w:p>
        </w:tc>
        <w:tc>
          <w:tcPr>
            <w:tcW w:w="4994" w:type="dxa"/>
          </w:tcPr>
          <w:p w14:paraId="0C02AEDF" w14:textId="7E6FD48B" w:rsidR="00B958A1" w:rsidRPr="00082FA3" w:rsidRDefault="00954620" w:rsidP="00B958A1">
            <w:pPr>
              <w:rPr>
                <w:rFonts w:cs="Calibri Light"/>
                <w:sz w:val="18"/>
                <w:szCs w:val="18"/>
                <w:lang w:val="sq-AL"/>
              </w:rPr>
            </w:pPr>
            <w:r w:rsidRPr="00082FA3">
              <w:rPr>
                <w:rFonts w:cs="Calibri Light"/>
                <w:sz w:val="18"/>
                <w:szCs w:val="18"/>
                <w:lang w:val="sq-AL"/>
              </w:rPr>
              <w:t>Identifikimi i nevojave dhe profilit të vullnetarizmit në vend</w:t>
            </w:r>
          </w:p>
        </w:tc>
        <w:tc>
          <w:tcPr>
            <w:tcW w:w="3383" w:type="dxa"/>
          </w:tcPr>
          <w:p w14:paraId="5DFB57B5" w14:textId="05006C96" w:rsidR="00B958A1" w:rsidRPr="00082FA3" w:rsidRDefault="00954620" w:rsidP="00B958A1">
            <w:pPr>
              <w:rPr>
                <w:rFonts w:cs="Calibri Light"/>
                <w:sz w:val="18"/>
                <w:szCs w:val="18"/>
                <w:lang w:val="sq-AL"/>
              </w:rPr>
            </w:pPr>
            <w:r w:rsidRPr="00082FA3">
              <w:rPr>
                <w:rFonts w:cs="Calibri Light"/>
                <w:sz w:val="18"/>
                <w:szCs w:val="18"/>
                <w:lang w:val="sq-AL"/>
              </w:rPr>
              <w:t>Grupi i Punës shqyrton raportet dhe vendos për një udhërrëfyes</w:t>
            </w:r>
          </w:p>
        </w:tc>
      </w:tr>
      <w:tr w:rsidR="00B958A1" w:rsidRPr="00082FA3" w14:paraId="443835B4" w14:textId="77777777" w:rsidTr="00B958A1">
        <w:trPr>
          <w:trHeight w:val="476"/>
        </w:trPr>
        <w:tc>
          <w:tcPr>
            <w:tcW w:w="708" w:type="dxa"/>
            <w:shd w:val="clear" w:color="auto" w:fill="F2F2F2" w:themeFill="background1" w:themeFillShade="F2"/>
          </w:tcPr>
          <w:p w14:paraId="2DA0F551" w14:textId="77777777" w:rsidR="00B958A1" w:rsidRPr="00082FA3" w:rsidRDefault="00B958A1"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700224" behindDoc="0" locked="0" layoutInCell="1" allowOverlap="1" wp14:anchorId="1E4E68D0" wp14:editId="7C0F4CDA">
                      <wp:simplePos x="0" y="0"/>
                      <wp:positionH relativeFrom="column">
                        <wp:posOffset>54610</wp:posOffset>
                      </wp:positionH>
                      <wp:positionV relativeFrom="paragraph">
                        <wp:posOffset>121997</wp:posOffset>
                      </wp:positionV>
                      <wp:extent cx="236220" cy="228600"/>
                      <wp:effectExtent l="0" t="0" r="11430" b="19050"/>
                      <wp:wrapNone/>
                      <wp:docPr id="10" name="Flowchart: Connector 10"/>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D15E92" id="Flowchart: Connector 10" o:spid="_x0000_s1026" type="#_x0000_t120" style="position:absolute;margin-left:4.3pt;margin-top:9.6pt;width:18.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" fillcolor="yellow" strokecolor="#7f7f7f [1612]" strokeweight="2pt"/>
                  </w:pict>
                </mc:Fallback>
              </mc:AlternateContent>
            </w:r>
          </w:p>
        </w:tc>
        <w:tc>
          <w:tcPr>
            <w:tcW w:w="4994" w:type="dxa"/>
          </w:tcPr>
          <w:p w14:paraId="12F002C3" w14:textId="131F12D2" w:rsidR="00B958A1" w:rsidRPr="00082FA3" w:rsidRDefault="00954620" w:rsidP="00B958A1">
            <w:pPr>
              <w:rPr>
                <w:rFonts w:cs="Calibri Light"/>
                <w:sz w:val="18"/>
                <w:szCs w:val="18"/>
                <w:lang w:val="sq-AL"/>
              </w:rPr>
            </w:pPr>
            <w:r w:rsidRPr="00082FA3">
              <w:rPr>
                <w:rFonts w:cs="Calibri Light"/>
                <w:sz w:val="18"/>
                <w:szCs w:val="18"/>
                <w:lang w:val="sq-AL"/>
              </w:rPr>
              <w:t>Përcaktimi i parimeve të sistemit për një qasje të integruar drejt zhvillimit të vullnetarizmit</w:t>
            </w:r>
          </w:p>
        </w:tc>
        <w:tc>
          <w:tcPr>
            <w:tcW w:w="3383" w:type="dxa"/>
          </w:tcPr>
          <w:p w14:paraId="1CA6C09E" w14:textId="342D2AA9" w:rsidR="00B958A1" w:rsidRPr="00082FA3" w:rsidRDefault="00954620" w:rsidP="00B958A1">
            <w:pPr>
              <w:rPr>
                <w:rFonts w:cs="Calibri Light"/>
                <w:sz w:val="18"/>
                <w:szCs w:val="18"/>
                <w:lang w:val="sq-AL"/>
              </w:rPr>
            </w:pPr>
            <w:r w:rsidRPr="00082FA3">
              <w:rPr>
                <w:rFonts w:cs="Calibri Light"/>
                <w:sz w:val="18"/>
                <w:szCs w:val="18"/>
                <w:lang w:val="sq-AL"/>
              </w:rPr>
              <w:t>Legjislacioni duhet të miratohet për një mjedis të përshtatshëm për vullnetarizmin</w:t>
            </w:r>
          </w:p>
        </w:tc>
      </w:tr>
      <w:tr w:rsidR="00B958A1" w:rsidRPr="00082FA3" w14:paraId="260B264E" w14:textId="77777777" w:rsidTr="00B958A1">
        <w:trPr>
          <w:trHeight w:val="488"/>
        </w:trPr>
        <w:tc>
          <w:tcPr>
            <w:tcW w:w="708" w:type="dxa"/>
            <w:shd w:val="clear" w:color="auto" w:fill="F2F2F2" w:themeFill="background1" w:themeFillShade="F2"/>
          </w:tcPr>
          <w:p w14:paraId="3B711F18" w14:textId="77777777" w:rsidR="00B958A1" w:rsidRPr="00082FA3" w:rsidRDefault="00B958A1" w:rsidP="00B958A1">
            <w:pPr>
              <w:jc w:val="center"/>
              <w:rPr>
                <w:rFonts w:cs="Calibri Light"/>
                <w:sz w:val="18"/>
                <w:szCs w:val="18"/>
                <w:lang w:val="sq-AL"/>
              </w:rPr>
            </w:pPr>
            <w:r w:rsidRPr="00082FA3">
              <w:rPr>
                <w:rFonts w:cs="Calibri Light"/>
                <w:noProof/>
                <w:sz w:val="18"/>
                <w:szCs w:val="18"/>
                <w:lang w:val="en-US"/>
              </w:rPr>
              <mc:AlternateContent>
                <mc:Choice Requires="wps">
                  <w:drawing>
                    <wp:anchor distT="0" distB="0" distL="114300" distR="114300" simplePos="0" relativeHeight="251701248" behindDoc="0" locked="0" layoutInCell="1" allowOverlap="1" wp14:anchorId="4427F407" wp14:editId="4BC98EBA">
                      <wp:simplePos x="0" y="0"/>
                      <wp:positionH relativeFrom="column">
                        <wp:posOffset>54610</wp:posOffset>
                      </wp:positionH>
                      <wp:positionV relativeFrom="paragraph">
                        <wp:posOffset>46990</wp:posOffset>
                      </wp:positionV>
                      <wp:extent cx="236220" cy="228600"/>
                      <wp:effectExtent l="0" t="0" r="11430" b="19050"/>
                      <wp:wrapNone/>
                      <wp:docPr id="14" name="Flowchart: Connector 14"/>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CA01F6" id="Flowchart: Connector 14" o:spid="_x0000_s1026" type="#_x0000_t120" style="position:absolute;margin-left:4.3pt;margin-top:3.7pt;width:18.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" fillcolor="red" strokecolor="#7f7f7f [1612]" strokeweight="2pt"/>
                  </w:pict>
                </mc:Fallback>
              </mc:AlternateContent>
            </w:r>
          </w:p>
        </w:tc>
        <w:tc>
          <w:tcPr>
            <w:tcW w:w="4994" w:type="dxa"/>
          </w:tcPr>
          <w:p w14:paraId="7DC2BA5A" w14:textId="08982AFA" w:rsidR="00B958A1" w:rsidRPr="00082FA3" w:rsidRDefault="00954620" w:rsidP="00B958A1">
            <w:pPr>
              <w:rPr>
                <w:rFonts w:cs="Calibri Light"/>
                <w:sz w:val="18"/>
                <w:szCs w:val="18"/>
                <w:lang w:val="sq-AL"/>
              </w:rPr>
            </w:pPr>
            <w:r w:rsidRPr="00082FA3">
              <w:rPr>
                <w:rFonts w:cs="Calibri Light"/>
                <w:sz w:val="18"/>
                <w:szCs w:val="18"/>
                <w:lang w:val="sq-AL"/>
              </w:rPr>
              <w:t>Krijimi i një sistemi monitorimi dhe raportimi për vullnetarizmin</w:t>
            </w:r>
          </w:p>
        </w:tc>
        <w:tc>
          <w:tcPr>
            <w:tcW w:w="3383" w:type="dxa"/>
          </w:tcPr>
          <w:p w14:paraId="3273F858" w14:textId="4CDD95B9" w:rsidR="00B958A1" w:rsidRPr="00082FA3" w:rsidRDefault="00954620" w:rsidP="00B958A1">
            <w:pPr>
              <w:rPr>
                <w:rFonts w:cs="Calibri Light"/>
                <w:sz w:val="18"/>
                <w:szCs w:val="18"/>
                <w:lang w:val="sq-AL"/>
              </w:rPr>
            </w:pPr>
            <w:r w:rsidRPr="00082FA3">
              <w:rPr>
                <w:rFonts w:cs="Calibri Light"/>
                <w:sz w:val="18"/>
                <w:szCs w:val="18"/>
                <w:lang w:val="sq-AL"/>
              </w:rPr>
              <w:t>Ngritja e një sistemi për të matur progresin në zhvillimin vullnetar</w:t>
            </w:r>
          </w:p>
        </w:tc>
      </w:tr>
    </w:tbl>
    <w:p w14:paraId="60DC0F7B" w14:textId="4C30E7CE" w:rsidR="00587636" w:rsidRPr="00082FA3" w:rsidRDefault="00587636" w:rsidP="00907367">
      <w:pPr>
        <w:rPr>
          <w:rFonts w:cs="Calibri Light"/>
          <w:lang w:val="sq-AL"/>
        </w:rPr>
      </w:pPr>
    </w:p>
    <w:p w14:paraId="388E3B25" w14:textId="352C6B46" w:rsidR="00CD772E" w:rsidRDefault="00CD772E" w:rsidP="00CD772E">
      <w:pPr>
        <w:rPr>
          <w:rFonts w:cs="Calibri Light"/>
          <w:lang w:val="sq-AL"/>
        </w:rPr>
      </w:pPr>
      <w:r w:rsidRPr="00082FA3">
        <w:rPr>
          <w:rFonts w:cs="Calibri Light"/>
          <w:b/>
          <w:lang w:val="sq-AL"/>
        </w:rPr>
        <w:t xml:space="preserve">Çfarë nuk është arritur? </w:t>
      </w:r>
      <w:r w:rsidRPr="00082FA3">
        <w:rPr>
          <w:rFonts w:cs="Calibri Light"/>
          <w:lang w:val="sq-AL"/>
        </w:rPr>
        <w:t xml:space="preserve">Nën-objektivi i parë paraqet punë në zhvillim e sipër. Grupi punues për Zhvillimin e Vullnetarizmit nuk ka qenë aq proaktiv. Në mënyrë që ky qëllim strategjik të jetë i arritshëm, grupi i punës duhet të rishikojë dhe miratojë studimet të cilat janë finalizuar dhe të hartojë një vendim dhe udhërrëfyes për mënyrën e hartimit dhe miratimit të Ligjit për Vullnetarizëm. Në varësi të politikave apo zhvillimeve ligjore, duhet të ekzistojë një sistem i monitorimit dhe raportimit për zhvillimin e vullnetarizmit në vend. </w:t>
      </w:r>
      <w:r w:rsidR="009B0D51" w:rsidRPr="000B74CD">
        <w:rPr>
          <w:rFonts w:cs="Calibri Light"/>
          <w:lang w:val="sq-AL"/>
        </w:rPr>
        <w:t xml:space="preserve">Gjithashtu, një koordinim i fuqishëm (idealisht </w:t>
      </w:r>
      <w:r w:rsidR="00E06D06" w:rsidRPr="000B74CD">
        <w:rPr>
          <w:rFonts w:cs="Calibri Light"/>
          <w:lang w:val="sq-AL"/>
        </w:rPr>
        <w:t xml:space="preserve">nga </w:t>
      </w:r>
      <w:r w:rsidR="009B0D51" w:rsidRPr="000B74CD">
        <w:rPr>
          <w:rFonts w:cs="Calibri Light"/>
          <w:lang w:val="sq-AL"/>
        </w:rPr>
        <w:t>Zyra e Kryeministrit)</w:t>
      </w:r>
      <w:r w:rsidR="00E06D06" w:rsidRPr="000B74CD">
        <w:rPr>
          <w:rFonts w:cs="Calibri Light"/>
          <w:lang w:val="sq-AL"/>
        </w:rPr>
        <w:t xml:space="preserve"> është më se i nevojshëm, i cili do të ketë </w:t>
      </w:r>
      <w:r w:rsidR="009B0D51" w:rsidRPr="000B74CD">
        <w:rPr>
          <w:rFonts w:cs="Calibri Light"/>
          <w:lang w:val="sq-AL"/>
        </w:rPr>
        <w:t xml:space="preserve">më shumë përgjegjësi dhe qasje proaktive </w:t>
      </w:r>
      <w:r w:rsidR="00E06D06" w:rsidRPr="000B74CD">
        <w:rPr>
          <w:rFonts w:cs="Calibri Light"/>
          <w:lang w:val="sq-AL"/>
        </w:rPr>
        <w:t>për të siguruar progres më thelbësor dhe qëndrueshëm në këtë fushë.</w:t>
      </w:r>
      <w:r w:rsidR="00E06D06" w:rsidRPr="00082FA3">
        <w:rPr>
          <w:rFonts w:cs="Calibri Light"/>
          <w:lang w:val="sq-AL"/>
        </w:rPr>
        <w:t xml:space="preserve"> </w:t>
      </w:r>
      <w:r w:rsidRPr="00082FA3">
        <w:rPr>
          <w:rFonts w:cs="Calibri Light"/>
          <w:lang w:val="sq-AL"/>
        </w:rPr>
        <w:t>Për informacion më të detajuar të nxjerrë drejtpërdrejt nga Matrica e Monitorimit, referojuni tabelës në vijim.</w:t>
      </w:r>
      <w:r w:rsidR="00082FA3">
        <w:rPr>
          <w:rFonts w:cs="Calibri Light"/>
          <w:lang w:val="sq-AL"/>
        </w:rPr>
        <w:t xml:space="preserve"> </w:t>
      </w:r>
    </w:p>
    <w:p w14:paraId="041C3479" w14:textId="7AF2DD1A" w:rsidR="000B74CD" w:rsidRDefault="000B74CD" w:rsidP="00CD772E">
      <w:pPr>
        <w:rPr>
          <w:rFonts w:cs="Calibri Light"/>
          <w:lang w:val="sq-AL"/>
        </w:rPr>
      </w:pPr>
    </w:p>
    <w:p w14:paraId="080AEB39" w14:textId="77777777" w:rsidR="000B74CD" w:rsidRPr="000B74CD" w:rsidRDefault="000B74CD" w:rsidP="000B74CD">
      <w:pPr>
        <w:rPr>
          <w:rFonts w:cs="Calibri Light"/>
          <w:lang w:val="sq-AL"/>
        </w:rPr>
      </w:pPr>
      <w:r w:rsidRPr="000B74CD">
        <w:rPr>
          <w:rFonts w:cs="Calibri Light"/>
          <w:lang w:val="sq-AL"/>
        </w:rPr>
        <w:t xml:space="preserve">Sipas diskutimit në takimin e Grupit Punues për hartimin e Strategjisë së re, problemi kryesor lidhur me ngecjen e zbatimit të kësaj objektive vjen si rezultat i “mungesës së zhvillimit të vullnetarizmit në programet e përfitimit publik.” Shkaqet se pse vullnetarizmi nuk ka arritur të zhvillohet janë të shumta. E para, organizatorët e punës vullnetare, përfshirë shtetin dhe OSCH-të, përballen me disa pengesa administrative dhe ligjore për angazhimin e vullnetarëve (si p.sh. puna vullnetare nuk njihet me ligj për vullnetarët mbi moshën 24 vjeçare). E dyta, standardet dhe kapacitetet i mungojnë OSCH-ve për angazhimin dhe menaxhimin e vullnetarëve. Dhe e treta, qytetarët nuk janë të vetëdijshëm për rëndësinë dhe vlerat e punës vullnetare.  </w:t>
      </w:r>
    </w:p>
    <w:p w14:paraId="5219322B" w14:textId="5E5D9CD8" w:rsidR="000B74CD" w:rsidRDefault="000B74CD" w:rsidP="00CD772E">
      <w:pPr>
        <w:rPr>
          <w:rFonts w:cs="Calibri Light"/>
          <w:lang w:val="sq-AL"/>
        </w:rPr>
      </w:pPr>
    </w:p>
    <w:p w14:paraId="0BEED7FB" w14:textId="77777777" w:rsidR="000B74CD" w:rsidRPr="00082FA3" w:rsidRDefault="000B74CD" w:rsidP="000B74CD">
      <w:pPr>
        <w:rPr>
          <w:lang w:val="sq-AL"/>
        </w:rPr>
      </w:pPr>
      <w:r w:rsidRPr="00082FA3">
        <w:rPr>
          <w:lang w:val="sq-AL"/>
        </w:rPr>
        <w:t xml:space="preserve">Teknika për të analizuar problemin apo çështjet e komplikuara të cilat ndërlidhen me njëra tjetrën është zbërthyer në </w:t>
      </w:r>
      <w:r w:rsidRPr="000B74CD">
        <w:rPr>
          <w:i/>
          <w:lang w:val="sq-AL"/>
        </w:rPr>
        <w:t>analizë të rrënjës së shkakut</w:t>
      </w:r>
      <w:r w:rsidRPr="00082FA3">
        <w:rPr>
          <w:i/>
          <w:lang w:val="sq-AL"/>
        </w:rPr>
        <w:t xml:space="preserve"> </w:t>
      </w:r>
      <w:r w:rsidRPr="00082FA3">
        <w:rPr>
          <w:lang w:val="sq-AL"/>
        </w:rPr>
        <w:t xml:space="preserve">të prezantuar si në tabelën në vijim. </w:t>
      </w:r>
    </w:p>
    <w:p w14:paraId="31AE81AC" w14:textId="14556945" w:rsidR="000B74CD" w:rsidRDefault="000B74CD" w:rsidP="00CD772E">
      <w:pPr>
        <w:rPr>
          <w:rFonts w:cs="Calibri Light"/>
          <w:lang w:val="sq-AL"/>
        </w:rPr>
      </w:pPr>
    </w:p>
    <w:tbl>
      <w:tblPr>
        <w:tblStyle w:val="TableGrid"/>
        <w:tblW w:w="0" w:type="auto"/>
        <w:tblLook w:val="04A0" w:firstRow="1" w:lastRow="0" w:firstColumn="1" w:lastColumn="0" w:noHBand="0" w:noVBand="1"/>
      </w:tblPr>
      <w:tblGrid>
        <w:gridCol w:w="1784"/>
        <w:gridCol w:w="2499"/>
        <w:gridCol w:w="4779"/>
      </w:tblGrid>
      <w:tr w:rsidR="008F2A15" w:rsidRPr="005E4980" w14:paraId="1C79025E" w14:textId="77777777" w:rsidTr="00C206CD">
        <w:tc>
          <w:tcPr>
            <w:tcW w:w="1784" w:type="dxa"/>
            <w:vMerge w:val="restart"/>
            <w:vAlign w:val="center"/>
          </w:tcPr>
          <w:p w14:paraId="5020E758" w14:textId="77777777" w:rsidR="008F2A15" w:rsidRPr="008F2A15" w:rsidRDefault="008F2A15" w:rsidP="008F2A15">
            <w:pPr>
              <w:rPr>
                <w:rFonts w:cs="Calibri Light"/>
                <w:b/>
                <w:lang w:val="sq-AL"/>
              </w:rPr>
            </w:pPr>
            <w:bookmarkStart w:id="18" w:name="_Hlk500618667"/>
            <w:r w:rsidRPr="008F2A15">
              <w:rPr>
                <w:rFonts w:cs="Calibri Light"/>
                <w:b/>
                <w:lang w:val="sq-AL"/>
              </w:rPr>
              <w:t xml:space="preserve">Problemi kryesor </w:t>
            </w:r>
          </w:p>
          <w:p w14:paraId="1442BA7D" w14:textId="7B3E03F5" w:rsidR="008F2A15" w:rsidRPr="008F2A15" w:rsidRDefault="008F2A15" w:rsidP="008F2A15">
            <w:pPr>
              <w:jc w:val="center"/>
              <w:rPr>
                <w:rFonts w:cs="Segoe UI Semilight"/>
                <w:szCs w:val="20"/>
                <w:lang w:val="de-DE"/>
              </w:rPr>
            </w:pPr>
            <w:r w:rsidRPr="008F2A15">
              <w:rPr>
                <w:rFonts w:cs="Calibri Light"/>
                <w:lang w:val="sq-AL"/>
              </w:rPr>
              <w:t xml:space="preserve">Mungesa e </w:t>
            </w:r>
            <w:r w:rsidRPr="008F2A15">
              <w:rPr>
                <w:rFonts w:cs="Calibri Light"/>
                <w:lang w:val="sq-AL"/>
              </w:rPr>
              <w:lastRenderedPageBreak/>
              <w:t>zhvillimit të vullnetarizmit në programet e përfitimit publik</w:t>
            </w:r>
          </w:p>
        </w:tc>
        <w:tc>
          <w:tcPr>
            <w:tcW w:w="2499" w:type="dxa"/>
            <w:vMerge w:val="restart"/>
          </w:tcPr>
          <w:p w14:paraId="760A1436" w14:textId="77777777" w:rsidR="008F2A15" w:rsidRPr="008F2A15" w:rsidRDefault="008F2A15" w:rsidP="008F2A15">
            <w:pPr>
              <w:rPr>
                <w:rFonts w:cs="Calibri Light"/>
                <w:b/>
                <w:lang w:val="sq-AL"/>
              </w:rPr>
            </w:pPr>
            <w:r w:rsidRPr="005E4980">
              <w:rPr>
                <w:rFonts w:cs="Segoe UI Semilight"/>
                <w:b/>
                <w:szCs w:val="20"/>
                <w:lang w:val="en-US"/>
              </w:rPr>
              <w:lastRenderedPageBreak/>
              <w:t xml:space="preserve">1. </w:t>
            </w:r>
            <w:r w:rsidRPr="008F2A15">
              <w:rPr>
                <w:rFonts w:cs="Calibri Light"/>
                <w:b/>
                <w:lang w:val="sq-AL"/>
              </w:rPr>
              <w:t xml:space="preserve">Shkaku i drejtpërdrejtë </w:t>
            </w:r>
          </w:p>
          <w:p w14:paraId="5EF8FB0A" w14:textId="417664E9" w:rsidR="008F2A15" w:rsidRPr="008F2A15" w:rsidRDefault="008F2A15" w:rsidP="00C206CD">
            <w:pPr>
              <w:jc w:val="center"/>
              <w:rPr>
                <w:rFonts w:cs="Segoe UI Semilight"/>
                <w:b/>
                <w:szCs w:val="20"/>
                <w:lang w:val="sq-AL"/>
              </w:rPr>
            </w:pPr>
          </w:p>
          <w:p w14:paraId="3BE692A2" w14:textId="7E8BFE5A" w:rsidR="008F2A15" w:rsidRPr="008F2A15" w:rsidRDefault="008F2A15" w:rsidP="008F2A15">
            <w:pPr>
              <w:jc w:val="left"/>
              <w:rPr>
                <w:rFonts w:cs="Segoe UI Semilight"/>
                <w:szCs w:val="20"/>
                <w:lang w:val="sq-AL"/>
              </w:rPr>
            </w:pPr>
            <w:r w:rsidRPr="008F2A15">
              <w:rPr>
                <w:rFonts w:cs="Calibri Light"/>
                <w:lang w:val="sq-AL"/>
              </w:rPr>
              <w:lastRenderedPageBreak/>
              <w:t xml:space="preserve">Organizatorët e punës vullnetare përballen me disa pengesa administrative dhe ligjore në angazhimin dhe mbajtjen e vullnetarëve.  </w:t>
            </w:r>
          </w:p>
        </w:tc>
        <w:tc>
          <w:tcPr>
            <w:tcW w:w="4779" w:type="dxa"/>
          </w:tcPr>
          <w:p w14:paraId="3AC9F0D6" w14:textId="462EC71A" w:rsidR="008F2A15" w:rsidRPr="008F2A15" w:rsidRDefault="008F2A15" w:rsidP="008F2A15">
            <w:pPr>
              <w:jc w:val="center"/>
              <w:rPr>
                <w:rFonts w:cs="Calibri Light"/>
                <w:b/>
                <w:bCs/>
                <w:lang w:val="sq-AL"/>
              </w:rPr>
            </w:pPr>
            <w:r w:rsidRPr="005E4980">
              <w:rPr>
                <w:rFonts w:cs="Segoe UI Semilight"/>
                <w:b/>
                <w:szCs w:val="20"/>
                <w:lang w:val="en-US"/>
              </w:rPr>
              <w:lastRenderedPageBreak/>
              <w:t xml:space="preserve">1.1 </w:t>
            </w:r>
            <w:r w:rsidRPr="008F2A15">
              <w:rPr>
                <w:rFonts w:cs="Calibri Light"/>
                <w:b/>
                <w:bCs/>
                <w:lang w:val="sq-AL"/>
              </w:rPr>
              <w:t>Rrënja e shkakut</w:t>
            </w:r>
          </w:p>
          <w:p w14:paraId="17942839" w14:textId="0B0E3312" w:rsidR="008F2A15" w:rsidRPr="008F2A15" w:rsidRDefault="008F2A15" w:rsidP="008F2A15">
            <w:pPr>
              <w:rPr>
                <w:rFonts w:cs="Segoe UI Semilight"/>
                <w:b/>
                <w:szCs w:val="20"/>
                <w:lang w:val="sq-AL"/>
              </w:rPr>
            </w:pPr>
          </w:p>
          <w:p w14:paraId="54AA1874" w14:textId="3A4B41E5" w:rsidR="008F2A15" w:rsidRPr="008F2A15" w:rsidRDefault="008F2A15" w:rsidP="00C206CD">
            <w:pPr>
              <w:rPr>
                <w:rFonts w:cs="Segoe UI Semilight"/>
                <w:szCs w:val="20"/>
                <w:lang w:val="sq-AL"/>
              </w:rPr>
            </w:pPr>
            <w:r w:rsidRPr="008F2A15">
              <w:rPr>
                <w:rFonts w:cs="Calibri Light"/>
                <w:lang w:val="sq-AL"/>
              </w:rPr>
              <w:lastRenderedPageBreak/>
              <w:t>Shteti nuk ka krijuar një kuadër të integruar ligjor dhe institucional për rritjen e punës vullnetare apo vullnetarizëm në vend.</w:t>
            </w:r>
          </w:p>
        </w:tc>
      </w:tr>
      <w:tr w:rsidR="008F2A15" w:rsidRPr="005E4980" w14:paraId="4ED5E96A" w14:textId="77777777" w:rsidTr="00C206CD">
        <w:tc>
          <w:tcPr>
            <w:tcW w:w="1784" w:type="dxa"/>
            <w:vMerge/>
          </w:tcPr>
          <w:p w14:paraId="695C9D06" w14:textId="77777777" w:rsidR="008F2A15" w:rsidRPr="008F2A15" w:rsidRDefault="008F2A15" w:rsidP="00C206CD">
            <w:pPr>
              <w:rPr>
                <w:rFonts w:cs="Segoe UI Semilight"/>
                <w:szCs w:val="20"/>
                <w:lang w:val="sq-AL"/>
              </w:rPr>
            </w:pPr>
          </w:p>
        </w:tc>
        <w:tc>
          <w:tcPr>
            <w:tcW w:w="2499" w:type="dxa"/>
            <w:vMerge/>
          </w:tcPr>
          <w:p w14:paraId="2100D6F5" w14:textId="77777777" w:rsidR="008F2A15" w:rsidRPr="008F2A15" w:rsidRDefault="008F2A15" w:rsidP="00C206CD">
            <w:pPr>
              <w:rPr>
                <w:rFonts w:cs="Segoe UI Semilight"/>
                <w:szCs w:val="20"/>
                <w:lang w:val="sq-AL"/>
              </w:rPr>
            </w:pPr>
          </w:p>
        </w:tc>
        <w:tc>
          <w:tcPr>
            <w:tcW w:w="4779" w:type="dxa"/>
          </w:tcPr>
          <w:p w14:paraId="5C568FDA" w14:textId="45BB466D" w:rsidR="008F2A15" w:rsidRPr="008F2A15" w:rsidRDefault="008F2A15" w:rsidP="008F2A15">
            <w:pPr>
              <w:jc w:val="center"/>
              <w:rPr>
                <w:rFonts w:cs="Calibri Light"/>
                <w:b/>
                <w:bCs/>
                <w:lang w:val="sq-AL"/>
              </w:rPr>
            </w:pPr>
            <w:r w:rsidRPr="005E4980">
              <w:rPr>
                <w:rFonts w:cs="Segoe UI Semilight"/>
                <w:b/>
                <w:szCs w:val="20"/>
                <w:lang w:val="en-US"/>
              </w:rPr>
              <w:t xml:space="preserve">1.2 </w:t>
            </w:r>
            <w:r w:rsidRPr="008F2A15">
              <w:rPr>
                <w:rFonts w:cs="Calibri Light"/>
                <w:b/>
                <w:bCs/>
                <w:lang w:val="sq-AL"/>
              </w:rPr>
              <w:t>Rrënja e shkakut</w:t>
            </w:r>
          </w:p>
          <w:p w14:paraId="38433E6F" w14:textId="67B73556" w:rsidR="008F2A15" w:rsidRPr="008F2A15" w:rsidRDefault="008F2A15" w:rsidP="00C206CD">
            <w:pPr>
              <w:jc w:val="center"/>
              <w:rPr>
                <w:rFonts w:cs="Segoe UI Semilight"/>
                <w:b/>
                <w:szCs w:val="20"/>
                <w:lang w:val="sq-AL"/>
              </w:rPr>
            </w:pPr>
            <w:r w:rsidRPr="008F2A15">
              <w:rPr>
                <w:rFonts w:cs="Segoe UI Semilight"/>
                <w:b/>
                <w:szCs w:val="20"/>
                <w:lang w:val="sq-AL"/>
              </w:rPr>
              <w:t xml:space="preserve"> </w:t>
            </w:r>
          </w:p>
          <w:p w14:paraId="68CE5669" w14:textId="7F113C71" w:rsidR="008F2A15" w:rsidRPr="008F2A15" w:rsidRDefault="008F2A15" w:rsidP="00C206CD">
            <w:pPr>
              <w:rPr>
                <w:rFonts w:cs="Segoe UI Semilight"/>
                <w:szCs w:val="20"/>
                <w:lang w:val="sq-AL"/>
              </w:rPr>
            </w:pPr>
            <w:r w:rsidRPr="008F2A15">
              <w:rPr>
                <w:rFonts w:cs="Calibri Light"/>
                <w:lang w:val="sq-AL"/>
              </w:rPr>
              <w:t>Shteti nuk ka zhvilluar mekanizma për të njohur dhe nxitur punën vullnetare si qëllim për të përmirësuar mirëqenien sociale.</w:t>
            </w:r>
          </w:p>
        </w:tc>
      </w:tr>
      <w:tr w:rsidR="008F2A15" w:rsidRPr="005E4980" w14:paraId="242CB2FF" w14:textId="77777777" w:rsidTr="00C206CD">
        <w:tc>
          <w:tcPr>
            <w:tcW w:w="1784" w:type="dxa"/>
            <w:vMerge/>
          </w:tcPr>
          <w:p w14:paraId="7F68573A" w14:textId="77777777" w:rsidR="008F2A15" w:rsidRPr="008F2A15" w:rsidRDefault="008F2A15" w:rsidP="00C206CD">
            <w:pPr>
              <w:rPr>
                <w:rFonts w:cs="Segoe UI Semilight"/>
                <w:szCs w:val="20"/>
                <w:lang w:val="sq-AL"/>
              </w:rPr>
            </w:pPr>
          </w:p>
        </w:tc>
        <w:tc>
          <w:tcPr>
            <w:tcW w:w="2499" w:type="dxa"/>
          </w:tcPr>
          <w:p w14:paraId="01C42D9C" w14:textId="77777777" w:rsidR="008F2A15" w:rsidRPr="008F2A15" w:rsidRDefault="008F2A15" w:rsidP="008F2A15">
            <w:pPr>
              <w:rPr>
                <w:rFonts w:cs="Calibri Light"/>
                <w:b/>
                <w:lang w:val="sq-AL"/>
              </w:rPr>
            </w:pPr>
            <w:r w:rsidRPr="005E4980">
              <w:rPr>
                <w:rFonts w:cs="Segoe UI Semilight"/>
                <w:b/>
                <w:szCs w:val="20"/>
                <w:lang w:val="en-US"/>
              </w:rPr>
              <w:t xml:space="preserve">2. </w:t>
            </w:r>
            <w:r w:rsidRPr="008F2A15">
              <w:rPr>
                <w:rFonts w:cs="Calibri Light"/>
                <w:b/>
                <w:lang w:val="sq-AL"/>
              </w:rPr>
              <w:t xml:space="preserve">Shkaku i drejtpërdrejtë </w:t>
            </w:r>
          </w:p>
          <w:p w14:paraId="60E75676" w14:textId="4001025B" w:rsidR="008F2A15" w:rsidRPr="005E4980" w:rsidRDefault="008F2A15" w:rsidP="00C206CD">
            <w:pPr>
              <w:tabs>
                <w:tab w:val="left" w:pos="892"/>
              </w:tabs>
              <w:jc w:val="center"/>
              <w:rPr>
                <w:rFonts w:cs="Segoe UI Semilight"/>
                <w:b/>
                <w:szCs w:val="20"/>
                <w:lang w:val="en-US"/>
              </w:rPr>
            </w:pPr>
          </w:p>
          <w:p w14:paraId="0A643ED7" w14:textId="78360436" w:rsidR="008F2A15" w:rsidRPr="005E4980" w:rsidRDefault="008F2A15" w:rsidP="008F2A15">
            <w:pPr>
              <w:jc w:val="left"/>
              <w:rPr>
                <w:rFonts w:cs="Segoe UI Semilight"/>
                <w:szCs w:val="20"/>
                <w:lang w:val="en-US"/>
              </w:rPr>
            </w:pPr>
            <w:r w:rsidRPr="008F2A15">
              <w:rPr>
                <w:rFonts w:cs="Calibri Light"/>
                <w:lang w:val="sq-AL"/>
              </w:rPr>
              <w:t xml:space="preserve">Mungesa e standardeve për, si dhe kapaciteteve të, OSHC-ve për rekrutimin, angazhimin &amp; menaxhimin e vullnetarëve.  </w:t>
            </w:r>
          </w:p>
        </w:tc>
        <w:tc>
          <w:tcPr>
            <w:tcW w:w="4779" w:type="dxa"/>
          </w:tcPr>
          <w:p w14:paraId="42CB6E6F" w14:textId="73A2174E" w:rsidR="008F2A15" w:rsidRPr="005E4980" w:rsidRDefault="008F2A15" w:rsidP="00C206CD">
            <w:pPr>
              <w:jc w:val="center"/>
              <w:rPr>
                <w:rFonts w:cs="Segoe UI Semilight"/>
                <w:b/>
                <w:szCs w:val="20"/>
                <w:lang w:val="en-US"/>
              </w:rPr>
            </w:pPr>
            <w:r w:rsidRPr="005E4980">
              <w:rPr>
                <w:rFonts w:cs="Segoe UI Semilight"/>
                <w:b/>
                <w:szCs w:val="20"/>
                <w:lang w:val="en-US"/>
              </w:rPr>
              <w:t xml:space="preserve">2.1 </w:t>
            </w:r>
            <w:r w:rsidRPr="008F2A15">
              <w:rPr>
                <w:rFonts w:cs="Segoe UI Semilight"/>
                <w:b/>
                <w:szCs w:val="20"/>
                <w:lang w:val="en-US"/>
              </w:rPr>
              <w:t>Rrënja e shkakut</w:t>
            </w:r>
          </w:p>
          <w:p w14:paraId="0A095C75" w14:textId="56E7BCE7" w:rsidR="008F2A15" w:rsidRPr="005E4980" w:rsidRDefault="008F2A15" w:rsidP="00C206CD">
            <w:pPr>
              <w:rPr>
                <w:rFonts w:cs="Segoe UI Semilight"/>
                <w:szCs w:val="20"/>
                <w:lang w:val="en-US"/>
              </w:rPr>
            </w:pPr>
            <w:r w:rsidRPr="008F2A15">
              <w:rPr>
                <w:rFonts w:cs="Calibri Light"/>
                <w:lang w:val="sq-AL"/>
              </w:rPr>
              <w:t>Shteti nuk ka zhvilluar programe të trajnimit për ngritjen e kapaciteteve të OSCH-ve në fushën e rekrutimit, angazhimit dhe menaxhimit të vullnetarëve.</w:t>
            </w:r>
          </w:p>
        </w:tc>
      </w:tr>
      <w:tr w:rsidR="008F2A15" w:rsidRPr="005E4980" w14:paraId="12BD8F74" w14:textId="77777777" w:rsidTr="00C206CD">
        <w:tc>
          <w:tcPr>
            <w:tcW w:w="1784" w:type="dxa"/>
            <w:vMerge/>
          </w:tcPr>
          <w:p w14:paraId="61DBA6D8" w14:textId="77777777" w:rsidR="008F2A15" w:rsidRPr="005E4980" w:rsidRDefault="008F2A15" w:rsidP="00C206CD">
            <w:pPr>
              <w:rPr>
                <w:rFonts w:cs="Segoe UI Semilight"/>
                <w:szCs w:val="20"/>
                <w:lang w:val="en-US"/>
              </w:rPr>
            </w:pPr>
          </w:p>
        </w:tc>
        <w:tc>
          <w:tcPr>
            <w:tcW w:w="2499" w:type="dxa"/>
          </w:tcPr>
          <w:p w14:paraId="7931AE76" w14:textId="77777777" w:rsidR="008F2A15" w:rsidRPr="008F2A15" w:rsidRDefault="008F2A15" w:rsidP="008F2A15">
            <w:pPr>
              <w:rPr>
                <w:rFonts w:cs="Calibri Light"/>
                <w:b/>
                <w:lang w:val="sq-AL"/>
              </w:rPr>
            </w:pPr>
            <w:r w:rsidRPr="005E4980">
              <w:rPr>
                <w:rFonts w:cs="Segoe UI Semilight"/>
                <w:b/>
                <w:szCs w:val="20"/>
                <w:lang w:val="en-US"/>
              </w:rPr>
              <w:t xml:space="preserve">3. </w:t>
            </w:r>
            <w:r w:rsidRPr="008F2A15">
              <w:rPr>
                <w:rFonts w:cs="Calibri Light"/>
                <w:b/>
                <w:lang w:val="sq-AL"/>
              </w:rPr>
              <w:t xml:space="preserve">Shkaku i drejtpërdrejtë </w:t>
            </w:r>
          </w:p>
          <w:p w14:paraId="429C8DE0" w14:textId="4B4D8D47" w:rsidR="008F2A15" w:rsidRPr="005E4980" w:rsidRDefault="008F2A15" w:rsidP="00C206CD">
            <w:pPr>
              <w:jc w:val="center"/>
              <w:rPr>
                <w:rFonts w:cs="Segoe UI Semilight"/>
                <w:b/>
                <w:szCs w:val="20"/>
                <w:lang w:val="en-US"/>
              </w:rPr>
            </w:pPr>
          </w:p>
          <w:p w14:paraId="25514F39" w14:textId="77777777" w:rsidR="008F2A15" w:rsidRPr="008F2A15" w:rsidRDefault="008F2A15" w:rsidP="008F2A15">
            <w:pPr>
              <w:jc w:val="left"/>
              <w:rPr>
                <w:rFonts w:cs="Calibri Light"/>
                <w:lang w:val="sq-AL"/>
              </w:rPr>
            </w:pPr>
            <w:r w:rsidRPr="008F2A15">
              <w:rPr>
                <w:rFonts w:cs="Calibri Light"/>
                <w:lang w:val="sq-AL"/>
              </w:rPr>
              <w:t>Mungesa e ndërgjegjësimit të qytetarëve mbi mundësitë dhe vlerat e vullnetarizmit.</w:t>
            </w:r>
          </w:p>
          <w:p w14:paraId="739B1ADB" w14:textId="77777777" w:rsidR="008F2A15" w:rsidRPr="008F2A15" w:rsidRDefault="008F2A15" w:rsidP="008F2A15">
            <w:pPr>
              <w:jc w:val="left"/>
              <w:rPr>
                <w:rFonts w:cs="Segoe UI Semilight"/>
                <w:szCs w:val="20"/>
                <w:lang w:val="sq-AL"/>
              </w:rPr>
            </w:pPr>
          </w:p>
        </w:tc>
        <w:tc>
          <w:tcPr>
            <w:tcW w:w="4779" w:type="dxa"/>
          </w:tcPr>
          <w:p w14:paraId="2544E886" w14:textId="2713B97C" w:rsidR="008F2A15" w:rsidRPr="008F2A15" w:rsidRDefault="008F2A15" w:rsidP="008F2A15">
            <w:pPr>
              <w:jc w:val="center"/>
              <w:rPr>
                <w:rFonts w:cs="Calibri Light"/>
                <w:b/>
                <w:bCs/>
                <w:lang w:val="sq-AL"/>
              </w:rPr>
            </w:pPr>
            <w:r w:rsidRPr="005E4980">
              <w:rPr>
                <w:rFonts w:cs="Segoe UI Semilight"/>
                <w:b/>
                <w:szCs w:val="20"/>
                <w:lang w:val="en-US"/>
              </w:rPr>
              <w:t xml:space="preserve">3.1 </w:t>
            </w:r>
            <w:r w:rsidRPr="008F2A15">
              <w:rPr>
                <w:rFonts w:cs="Calibri Light"/>
                <w:b/>
                <w:bCs/>
                <w:lang w:val="sq-AL"/>
              </w:rPr>
              <w:t>Rrënja e shkakut</w:t>
            </w:r>
          </w:p>
          <w:p w14:paraId="72FCB689" w14:textId="282A379A" w:rsidR="008F2A15" w:rsidRPr="008F2A15" w:rsidRDefault="008F2A15" w:rsidP="008F2A15">
            <w:pPr>
              <w:rPr>
                <w:rFonts w:cs="Calibri Light"/>
                <w:lang w:val="sq-AL"/>
              </w:rPr>
            </w:pPr>
            <w:r w:rsidRPr="008F2A15">
              <w:rPr>
                <w:rFonts w:cs="Calibri Light"/>
                <w:lang w:val="sq-AL"/>
              </w:rPr>
              <w:t>Shteti dhe OSCH-të nuk kanë organizuar fushata për ngritjen e vetëdijes së qytetarëve mbi vlerat e angazhimit vullnetar, në dallim me atë të angazhimit në praktikë.</w:t>
            </w:r>
          </w:p>
          <w:p w14:paraId="63F39590" w14:textId="77777777" w:rsidR="008F2A15" w:rsidRPr="008F2A15" w:rsidRDefault="008F2A15" w:rsidP="00C206CD">
            <w:pPr>
              <w:rPr>
                <w:rFonts w:cs="Segoe UI Semilight"/>
                <w:szCs w:val="20"/>
                <w:lang w:val="sq-AL"/>
              </w:rPr>
            </w:pPr>
          </w:p>
        </w:tc>
      </w:tr>
      <w:bookmarkEnd w:id="18"/>
    </w:tbl>
    <w:p w14:paraId="2BB44772" w14:textId="243812AA" w:rsidR="000B74CD" w:rsidRPr="008F2A15" w:rsidRDefault="000B74CD" w:rsidP="00CD772E">
      <w:pPr>
        <w:rPr>
          <w:rFonts w:cs="Calibri Light"/>
        </w:rPr>
      </w:pPr>
    </w:p>
    <w:p w14:paraId="43DF2BF6" w14:textId="1DCEA083" w:rsidR="000B74CD" w:rsidRPr="008F2A15" w:rsidRDefault="008F2A15" w:rsidP="00CD772E">
      <w:pPr>
        <w:rPr>
          <w:rFonts w:cs="Calibri Light"/>
        </w:rPr>
      </w:pPr>
      <w:r w:rsidRPr="008F2A15">
        <w:rPr>
          <w:rFonts w:cs="Calibri Light"/>
        </w:rPr>
        <w:t>Për informacion më të detajuar të nxjerrë drejtpërdrejt nga Matrica e Monitorimit, referojuni tabelës në vijim.</w:t>
      </w:r>
    </w:p>
    <w:tbl>
      <w:tblPr>
        <w:tblW w:w="9123" w:type="dxa"/>
        <w:tblInd w:w="-38" w:type="dxa"/>
        <w:tblLayout w:type="fixed"/>
        <w:tblLook w:val="0000" w:firstRow="0" w:lastRow="0" w:firstColumn="0" w:lastColumn="0" w:noHBand="0" w:noVBand="0"/>
      </w:tblPr>
      <w:tblGrid>
        <w:gridCol w:w="3807"/>
        <w:gridCol w:w="4323"/>
        <w:gridCol w:w="993"/>
      </w:tblGrid>
      <w:tr w:rsidR="00CD772E" w:rsidRPr="00082FA3" w14:paraId="421D12DE" w14:textId="77777777" w:rsidTr="00CD772E">
        <w:trPr>
          <w:trHeight w:val="300"/>
        </w:trPr>
        <w:tc>
          <w:tcPr>
            <w:tcW w:w="3807" w:type="dxa"/>
            <w:tcBorders>
              <w:top w:val="single" w:sz="6" w:space="0" w:color="auto"/>
              <w:left w:val="single" w:sz="6" w:space="0" w:color="auto"/>
              <w:bottom w:val="nil"/>
              <w:right w:val="nil"/>
            </w:tcBorders>
          </w:tcPr>
          <w:p w14:paraId="185632F9" w14:textId="77777777" w:rsidR="00CD772E" w:rsidRPr="00082FA3" w:rsidRDefault="00CD772E" w:rsidP="00CD772E">
            <w:pPr>
              <w:autoSpaceDE w:val="0"/>
              <w:autoSpaceDN w:val="0"/>
              <w:adjustRightInd w:val="0"/>
              <w:contextualSpacing w:val="0"/>
              <w:rPr>
                <w:rFonts w:cs="Segoe UI Semilight"/>
                <w:b/>
                <w:bCs/>
                <w:color w:val="000000"/>
                <w:sz w:val="28"/>
                <w:szCs w:val="28"/>
                <w:lang w:val="sq-AL"/>
              </w:rPr>
            </w:pPr>
            <w:r w:rsidRPr="00082FA3">
              <w:rPr>
                <w:rFonts w:cs="Segoe UI Semilight"/>
                <w:b/>
                <w:bCs/>
                <w:color w:val="000000"/>
                <w:sz w:val="28"/>
                <w:szCs w:val="28"/>
                <w:lang w:val="sq-AL"/>
              </w:rPr>
              <w:t xml:space="preserve">Matrica e Monitorimit </w:t>
            </w:r>
          </w:p>
        </w:tc>
        <w:tc>
          <w:tcPr>
            <w:tcW w:w="4323" w:type="dxa"/>
            <w:tcBorders>
              <w:top w:val="single" w:sz="6" w:space="0" w:color="auto"/>
              <w:left w:val="nil"/>
              <w:bottom w:val="nil"/>
              <w:right w:val="nil"/>
            </w:tcBorders>
          </w:tcPr>
          <w:p w14:paraId="3DEE2996" w14:textId="77777777" w:rsidR="00CD772E" w:rsidRPr="00082FA3" w:rsidRDefault="00CD772E" w:rsidP="00CD772E">
            <w:pPr>
              <w:autoSpaceDE w:val="0"/>
              <w:autoSpaceDN w:val="0"/>
              <w:adjustRightInd w:val="0"/>
              <w:contextualSpacing w:val="0"/>
              <w:jc w:val="center"/>
              <w:rPr>
                <w:rFonts w:cs="Segoe UI Semilight"/>
                <w:b/>
                <w:bCs/>
                <w:color w:val="000000"/>
                <w:sz w:val="28"/>
                <w:szCs w:val="28"/>
                <w:lang w:val="sq-AL"/>
              </w:rPr>
            </w:pPr>
          </w:p>
        </w:tc>
        <w:tc>
          <w:tcPr>
            <w:tcW w:w="993" w:type="dxa"/>
            <w:tcBorders>
              <w:top w:val="single" w:sz="6" w:space="0" w:color="auto"/>
              <w:left w:val="nil"/>
              <w:bottom w:val="nil"/>
              <w:right w:val="single" w:sz="6" w:space="0" w:color="auto"/>
            </w:tcBorders>
          </w:tcPr>
          <w:p w14:paraId="74BE42FE" w14:textId="77777777" w:rsidR="00CD772E" w:rsidRPr="00082FA3" w:rsidRDefault="00CD772E" w:rsidP="00CD772E">
            <w:pPr>
              <w:autoSpaceDE w:val="0"/>
              <w:autoSpaceDN w:val="0"/>
              <w:adjustRightInd w:val="0"/>
              <w:contextualSpacing w:val="0"/>
              <w:jc w:val="center"/>
              <w:rPr>
                <w:rFonts w:cs="Segoe UI Semilight"/>
                <w:b/>
                <w:bCs/>
                <w:color w:val="000000"/>
                <w:sz w:val="28"/>
                <w:szCs w:val="28"/>
                <w:lang w:val="sq-AL"/>
              </w:rPr>
            </w:pPr>
          </w:p>
        </w:tc>
      </w:tr>
      <w:tr w:rsidR="00CD772E" w:rsidRPr="00082FA3" w14:paraId="2F313B93" w14:textId="77777777" w:rsidTr="00CD772E">
        <w:trPr>
          <w:trHeight w:val="300"/>
        </w:trPr>
        <w:tc>
          <w:tcPr>
            <w:tcW w:w="3807" w:type="dxa"/>
            <w:tcBorders>
              <w:top w:val="nil"/>
              <w:left w:val="single" w:sz="6" w:space="0" w:color="auto"/>
              <w:bottom w:val="single" w:sz="6" w:space="0" w:color="C0C0C0"/>
              <w:right w:val="nil"/>
            </w:tcBorders>
          </w:tcPr>
          <w:p w14:paraId="7069AD94" w14:textId="77777777" w:rsidR="00CD772E" w:rsidRPr="00082FA3" w:rsidRDefault="00CD772E" w:rsidP="00CD772E">
            <w:pPr>
              <w:autoSpaceDE w:val="0"/>
              <w:autoSpaceDN w:val="0"/>
              <w:adjustRightInd w:val="0"/>
              <w:contextualSpacing w:val="0"/>
              <w:jc w:val="center"/>
              <w:rPr>
                <w:rFonts w:cs="Segoe UI Semilight"/>
                <w:b/>
                <w:bCs/>
                <w:color w:val="000000"/>
                <w:sz w:val="28"/>
                <w:szCs w:val="28"/>
                <w:lang w:val="sq-AL"/>
              </w:rPr>
            </w:pPr>
          </w:p>
        </w:tc>
        <w:tc>
          <w:tcPr>
            <w:tcW w:w="4323" w:type="dxa"/>
            <w:tcBorders>
              <w:top w:val="nil"/>
              <w:left w:val="nil"/>
              <w:bottom w:val="single" w:sz="6" w:space="0" w:color="C0C0C0"/>
              <w:right w:val="nil"/>
            </w:tcBorders>
          </w:tcPr>
          <w:p w14:paraId="21350C4A" w14:textId="77777777" w:rsidR="00CD772E" w:rsidRPr="00082FA3" w:rsidRDefault="00CD772E" w:rsidP="00CD772E">
            <w:pPr>
              <w:autoSpaceDE w:val="0"/>
              <w:autoSpaceDN w:val="0"/>
              <w:adjustRightInd w:val="0"/>
              <w:contextualSpacing w:val="0"/>
              <w:jc w:val="center"/>
              <w:rPr>
                <w:rFonts w:cs="Segoe UI Semilight"/>
                <w:b/>
                <w:bCs/>
                <w:color w:val="000000"/>
                <w:sz w:val="28"/>
                <w:szCs w:val="28"/>
                <w:lang w:val="sq-AL"/>
              </w:rPr>
            </w:pPr>
          </w:p>
        </w:tc>
        <w:tc>
          <w:tcPr>
            <w:tcW w:w="993" w:type="dxa"/>
            <w:tcBorders>
              <w:top w:val="nil"/>
              <w:left w:val="nil"/>
              <w:bottom w:val="single" w:sz="6" w:space="0" w:color="C0C0C0"/>
              <w:right w:val="single" w:sz="6" w:space="0" w:color="auto"/>
            </w:tcBorders>
          </w:tcPr>
          <w:p w14:paraId="0B2540BD" w14:textId="77777777" w:rsidR="00CD772E" w:rsidRPr="00082FA3" w:rsidRDefault="00CD772E" w:rsidP="00CD772E">
            <w:pPr>
              <w:autoSpaceDE w:val="0"/>
              <w:autoSpaceDN w:val="0"/>
              <w:adjustRightInd w:val="0"/>
              <w:contextualSpacing w:val="0"/>
              <w:jc w:val="center"/>
              <w:rPr>
                <w:rFonts w:cs="Segoe UI Semilight"/>
                <w:b/>
                <w:bCs/>
                <w:color w:val="000000"/>
                <w:sz w:val="28"/>
                <w:szCs w:val="28"/>
                <w:lang w:val="sq-AL"/>
              </w:rPr>
            </w:pPr>
          </w:p>
        </w:tc>
      </w:tr>
      <w:tr w:rsidR="00CD772E" w:rsidRPr="00082FA3" w14:paraId="7210073E" w14:textId="77777777" w:rsidTr="00CD772E">
        <w:trPr>
          <w:trHeight w:val="446"/>
        </w:trPr>
        <w:tc>
          <w:tcPr>
            <w:tcW w:w="3807" w:type="dxa"/>
            <w:tcBorders>
              <w:top w:val="nil"/>
              <w:left w:val="single" w:sz="6" w:space="0" w:color="auto"/>
              <w:bottom w:val="single" w:sz="6" w:space="0" w:color="auto"/>
              <w:right w:val="single" w:sz="6" w:space="0" w:color="auto"/>
            </w:tcBorders>
            <w:shd w:val="solid" w:color="808080" w:fill="auto"/>
          </w:tcPr>
          <w:p w14:paraId="0EC730A0" w14:textId="77777777" w:rsidR="00CD772E" w:rsidRPr="00082FA3" w:rsidRDefault="00CD772E" w:rsidP="00CD772E">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Veprimi</w:t>
            </w:r>
          </w:p>
        </w:tc>
        <w:tc>
          <w:tcPr>
            <w:tcW w:w="4323" w:type="dxa"/>
            <w:tcBorders>
              <w:top w:val="nil"/>
              <w:left w:val="single" w:sz="6" w:space="0" w:color="auto"/>
              <w:bottom w:val="single" w:sz="6" w:space="0" w:color="auto"/>
              <w:right w:val="single" w:sz="6" w:space="0" w:color="auto"/>
            </w:tcBorders>
            <w:shd w:val="solid" w:color="808080" w:fill="auto"/>
          </w:tcPr>
          <w:p w14:paraId="0AA122C6" w14:textId="77777777" w:rsidR="00CD772E" w:rsidRPr="00082FA3" w:rsidRDefault="00CD772E" w:rsidP="00CD772E">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Treguesi i Progresit</w:t>
            </w:r>
          </w:p>
        </w:tc>
        <w:tc>
          <w:tcPr>
            <w:tcW w:w="993" w:type="dxa"/>
            <w:tcBorders>
              <w:top w:val="nil"/>
              <w:left w:val="single" w:sz="6" w:space="0" w:color="auto"/>
              <w:bottom w:val="single" w:sz="6" w:space="0" w:color="auto"/>
              <w:right w:val="single" w:sz="6" w:space="0" w:color="auto"/>
            </w:tcBorders>
            <w:shd w:val="solid" w:color="808080" w:fill="auto"/>
          </w:tcPr>
          <w:p w14:paraId="62BFC5B1" w14:textId="77777777" w:rsidR="00CD772E" w:rsidRPr="00082FA3" w:rsidRDefault="00CD772E" w:rsidP="00CD772E">
            <w:pPr>
              <w:autoSpaceDE w:val="0"/>
              <w:autoSpaceDN w:val="0"/>
              <w:adjustRightInd w:val="0"/>
              <w:contextualSpacing w:val="0"/>
              <w:jc w:val="center"/>
              <w:rPr>
                <w:rFonts w:cs="Segoe UI Semilight"/>
                <w:b/>
                <w:bCs/>
                <w:color w:val="FFFFFF"/>
                <w:szCs w:val="20"/>
                <w:lang w:val="sq-AL"/>
              </w:rPr>
            </w:pPr>
            <w:r w:rsidRPr="00082FA3">
              <w:rPr>
                <w:rFonts w:cs="Segoe UI Semilight"/>
                <w:b/>
                <w:bCs/>
                <w:color w:val="FFFFFF"/>
                <w:szCs w:val="20"/>
                <w:lang w:val="sq-AL"/>
              </w:rPr>
              <w:t xml:space="preserve">Notimi </w:t>
            </w:r>
          </w:p>
        </w:tc>
      </w:tr>
      <w:tr w:rsidR="00CD772E" w:rsidRPr="00082FA3" w14:paraId="5A607BF5" w14:textId="77777777" w:rsidTr="00CD772E">
        <w:trPr>
          <w:trHeight w:val="620"/>
        </w:trPr>
        <w:tc>
          <w:tcPr>
            <w:tcW w:w="9123" w:type="dxa"/>
            <w:gridSpan w:val="3"/>
            <w:tcBorders>
              <w:top w:val="single" w:sz="6" w:space="0" w:color="auto"/>
              <w:left w:val="single" w:sz="6" w:space="0" w:color="auto"/>
              <w:bottom w:val="single" w:sz="6" w:space="0" w:color="auto"/>
              <w:right w:val="single" w:sz="6" w:space="0" w:color="auto"/>
            </w:tcBorders>
            <w:shd w:val="solid" w:color="333333" w:fill="auto"/>
          </w:tcPr>
          <w:p w14:paraId="6BF2BD99" w14:textId="77777777" w:rsidR="00CD772E" w:rsidRPr="00082FA3" w:rsidRDefault="00CD772E" w:rsidP="00CD772E">
            <w:pPr>
              <w:autoSpaceDE w:val="0"/>
              <w:autoSpaceDN w:val="0"/>
              <w:adjustRightInd w:val="0"/>
              <w:contextualSpacing w:val="0"/>
              <w:jc w:val="left"/>
              <w:rPr>
                <w:rFonts w:cs="Segoe UI Semilight"/>
                <w:color w:val="000000"/>
                <w:sz w:val="24"/>
                <w:szCs w:val="24"/>
                <w:lang w:val="sq-AL"/>
              </w:rPr>
            </w:pPr>
            <w:r w:rsidRPr="00082FA3">
              <w:rPr>
                <w:rFonts w:cs="Segoe UI Semilight"/>
                <w:b/>
                <w:bCs/>
                <w:color w:val="FFFFFF"/>
                <w:sz w:val="24"/>
                <w:szCs w:val="24"/>
                <w:lang w:val="sq-AL"/>
              </w:rPr>
              <w:t xml:space="preserve">Objektivi Strategjik: 4. Nxitja e qasjes së integruar në zhvillimin e vullnetarizmit </w:t>
            </w:r>
          </w:p>
        </w:tc>
      </w:tr>
      <w:tr w:rsidR="00CD772E" w:rsidRPr="00082FA3" w14:paraId="151676D4" w14:textId="77777777" w:rsidTr="00CD772E">
        <w:trPr>
          <w:trHeight w:val="649"/>
        </w:trPr>
        <w:tc>
          <w:tcPr>
            <w:tcW w:w="8130" w:type="dxa"/>
            <w:gridSpan w:val="2"/>
            <w:tcBorders>
              <w:top w:val="single" w:sz="6" w:space="0" w:color="auto"/>
              <w:left w:val="single" w:sz="6" w:space="0" w:color="auto"/>
              <w:bottom w:val="single" w:sz="6" w:space="0" w:color="auto"/>
              <w:right w:val="nil"/>
            </w:tcBorders>
            <w:shd w:val="solid" w:color="C0C0C0" w:fill="auto"/>
          </w:tcPr>
          <w:p w14:paraId="42805D11" w14:textId="77777777" w:rsidR="00CD772E" w:rsidRPr="00082FA3" w:rsidRDefault="00CD772E" w:rsidP="00CD772E">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4.1. Identifikimi i nevojave dhe profilit të vullnetarizmit në Kosovë</w:t>
            </w:r>
          </w:p>
        </w:tc>
        <w:tc>
          <w:tcPr>
            <w:tcW w:w="993" w:type="dxa"/>
            <w:tcBorders>
              <w:top w:val="single" w:sz="6" w:space="0" w:color="auto"/>
              <w:left w:val="nil"/>
              <w:bottom w:val="single" w:sz="6" w:space="0" w:color="auto"/>
              <w:right w:val="single" w:sz="6" w:space="0" w:color="auto"/>
            </w:tcBorders>
            <w:shd w:val="clear" w:color="auto" w:fill="BFBFBF" w:themeFill="background1" w:themeFillShade="BF"/>
          </w:tcPr>
          <w:p w14:paraId="517F20B4" w14:textId="77777777" w:rsidR="00CD772E" w:rsidRPr="00082FA3" w:rsidRDefault="00CD772E" w:rsidP="00CD772E">
            <w:pPr>
              <w:autoSpaceDE w:val="0"/>
              <w:autoSpaceDN w:val="0"/>
              <w:adjustRightInd w:val="0"/>
              <w:contextualSpacing w:val="0"/>
              <w:jc w:val="right"/>
              <w:rPr>
                <w:rFonts w:cs="Segoe UI Semilight"/>
                <w:color w:val="000000"/>
                <w:szCs w:val="20"/>
                <w:lang w:val="sq-AL"/>
              </w:rPr>
            </w:pPr>
          </w:p>
        </w:tc>
      </w:tr>
      <w:tr w:rsidR="00CD772E" w:rsidRPr="00082FA3" w14:paraId="2B0D8094" w14:textId="77777777" w:rsidTr="00CD772E">
        <w:trPr>
          <w:trHeight w:val="591"/>
        </w:trPr>
        <w:tc>
          <w:tcPr>
            <w:tcW w:w="3807" w:type="dxa"/>
            <w:tcBorders>
              <w:top w:val="single" w:sz="6" w:space="0" w:color="auto"/>
              <w:left w:val="single" w:sz="6" w:space="0" w:color="auto"/>
              <w:bottom w:val="single" w:sz="6" w:space="0" w:color="auto"/>
              <w:right w:val="single" w:sz="6" w:space="0" w:color="auto"/>
            </w:tcBorders>
          </w:tcPr>
          <w:p w14:paraId="19D969E7" w14:textId="77777777" w:rsidR="00CD772E" w:rsidRPr="00082FA3" w:rsidRDefault="00CD772E" w:rsidP="00CD772E">
            <w:pPr>
              <w:autoSpaceDE w:val="0"/>
              <w:autoSpaceDN w:val="0"/>
              <w:adjustRightInd w:val="0"/>
              <w:contextualSpacing w:val="0"/>
              <w:jc w:val="left"/>
              <w:rPr>
                <w:rFonts w:cs="Segoe UI Semilight"/>
                <w:color w:val="000000"/>
                <w:sz w:val="22"/>
                <w:lang w:val="sq-AL"/>
              </w:rPr>
            </w:pPr>
            <w:r w:rsidRPr="00082FA3">
              <w:rPr>
                <w:rFonts w:cs="Segoe UI Semilight"/>
                <w:color w:val="000000"/>
                <w:sz w:val="22"/>
                <w:lang w:val="sq-AL"/>
              </w:rPr>
              <w:t>4.1.1. Funksionalizimi i grupit nder-sektorial për vullnetarizëm</w:t>
            </w:r>
          </w:p>
        </w:tc>
        <w:tc>
          <w:tcPr>
            <w:tcW w:w="4323" w:type="dxa"/>
            <w:tcBorders>
              <w:top w:val="single" w:sz="6" w:space="0" w:color="auto"/>
              <w:left w:val="single" w:sz="6" w:space="0" w:color="auto"/>
              <w:bottom w:val="single" w:sz="6" w:space="0" w:color="auto"/>
              <w:right w:val="single" w:sz="6" w:space="0" w:color="auto"/>
            </w:tcBorders>
          </w:tcPr>
          <w:p w14:paraId="44C06FF3" w14:textId="77777777" w:rsidR="00CD772E" w:rsidRPr="00082FA3" w:rsidRDefault="00CD772E" w:rsidP="00CD772E">
            <w:pPr>
              <w:autoSpaceDE w:val="0"/>
              <w:autoSpaceDN w:val="0"/>
              <w:adjustRightInd w:val="0"/>
              <w:contextualSpacing w:val="0"/>
              <w:jc w:val="left"/>
              <w:rPr>
                <w:rFonts w:cs="Segoe UI Semilight"/>
                <w:color w:val="000000"/>
                <w:sz w:val="22"/>
                <w:lang w:val="sq-AL"/>
              </w:rPr>
            </w:pPr>
            <w:r w:rsidRPr="00082FA3">
              <w:rPr>
                <w:rFonts w:cs="Segoe UI Semilight"/>
                <w:color w:val="000000"/>
                <w:sz w:val="22"/>
                <w:lang w:val="sq-AL"/>
              </w:rPr>
              <w:t>Është funksionalizuar grupi nder-sektorial për vullnetarizëm. Janë mbajtur takime të rregullta të grupit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5939D7D" w14:textId="77777777" w:rsidR="00CD772E" w:rsidRPr="00082FA3" w:rsidRDefault="00CD772E" w:rsidP="00CD772E">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D772E" w:rsidRPr="00082FA3" w14:paraId="68511AD3" w14:textId="77777777" w:rsidTr="00CD772E">
        <w:trPr>
          <w:trHeight w:val="581"/>
        </w:trPr>
        <w:tc>
          <w:tcPr>
            <w:tcW w:w="3807" w:type="dxa"/>
            <w:tcBorders>
              <w:top w:val="single" w:sz="6" w:space="0" w:color="auto"/>
              <w:left w:val="single" w:sz="6" w:space="0" w:color="auto"/>
              <w:bottom w:val="single" w:sz="6" w:space="0" w:color="auto"/>
              <w:right w:val="single" w:sz="6" w:space="0" w:color="auto"/>
            </w:tcBorders>
          </w:tcPr>
          <w:p w14:paraId="400A8223" w14:textId="77777777" w:rsidR="00CD772E" w:rsidRPr="00082FA3" w:rsidRDefault="00CD772E" w:rsidP="00CD772E">
            <w:pPr>
              <w:autoSpaceDE w:val="0"/>
              <w:autoSpaceDN w:val="0"/>
              <w:adjustRightInd w:val="0"/>
              <w:contextualSpacing w:val="0"/>
              <w:jc w:val="left"/>
              <w:rPr>
                <w:rFonts w:cs="Segoe UI Semilight"/>
                <w:color w:val="000000"/>
                <w:sz w:val="22"/>
                <w:lang w:val="sq-AL"/>
              </w:rPr>
            </w:pPr>
            <w:r w:rsidRPr="00082FA3">
              <w:rPr>
                <w:rFonts w:cs="Segoe UI Semilight"/>
                <w:color w:val="000000"/>
                <w:sz w:val="22"/>
                <w:lang w:val="sq-AL"/>
              </w:rPr>
              <w:t>4.1.2. Analizimi i profilit të vullnetarizmit në Kosovë</w:t>
            </w:r>
          </w:p>
        </w:tc>
        <w:tc>
          <w:tcPr>
            <w:tcW w:w="4323" w:type="dxa"/>
            <w:tcBorders>
              <w:top w:val="single" w:sz="6" w:space="0" w:color="auto"/>
              <w:left w:val="single" w:sz="6" w:space="0" w:color="auto"/>
              <w:bottom w:val="single" w:sz="6" w:space="0" w:color="auto"/>
              <w:right w:val="single" w:sz="6" w:space="0" w:color="auto"/>
            </w:tcBorders>
          </w:tcPr>
          <w:p w14:paraId="6E2F406B" w14:textId="77777777" w:rsidR="00CD772E" w:rsidRPr="00082FA3" w:rsidRDefault="00CD772E" w:rsidP="00CD772E">
            <w:pPr>
              <w:autoSpaceDE w:val="0"/>
              <w:autoSpaceDN w:val="0"/>
              <w:adjustRightInd w:val="0"/>
              <w:contextualSpacing w:val="0"/>
              <w:jc w:val="left"/>
              <w:rPr>
                <w:rFonts w:cs="Segoe UI Semilight"/>
                <w:color w:val="000000"/>
                <w:sz w:val="22"/>
                <w:lang w:val="sq-AL"/>
              </w:rPr>
            </w:pPr>
            <w:r w:rsidRPr="00082FA3">
              <w:rPr>
                <w:rFonts w:cs="Segoe UI Semilight"/>
                <w:color w:val="000000"/>
                <w:sz w:val="22"/>
                <w:lang w:val="sq-AL"/>
              </w:rPr>
              <w:t>Është analizuar profili i vullnetarizmit në Kosovë</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5C7428E" w14:textId="77777777" w:rsidR="00CD772E" w:rsidRPr="00082FA3" w:rsidRDefault="00CD772E" w:rsidP="00CD772E">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1</w:t>
            </w:r>
          </w:p>
        </w:tc>
      </w:tr>
      <w:tr w:rsidR="00CD772E" w:rsidRPr="00082FA3" w14:paraId="13ADD2BD" w14:textId="77777777" w:rsidTr="00CD772E">
        <w:trPr>
          <w:trHeight w:val="659"/>
        </w:trPr>
        <w:tc>
          <w:tcPr>
            <w:tcW w:w="3807" w:type="dxa"/>
            <w:tcBorders>
              <w:top w:val="single" w:sz="6" w:space="0" w:color="auto"/>
              <w:left w:val="single" w:sz="6" w:space="0" w:color="auto"/>
              <w:bottom w:val="single" w:sz="6" w:space="0" w:color="auto"/>
              <w:right w:val="single" w:sz="6" w:space="0" w:color="auto"/>
            </w:tcBorders>
          </w:tcPr>
          <w:p w14:paraId="0A7EF74F" w14:textId="77777777" w:rsidR="00CD772E" w:rsidRPr="00082FA3" w:rsidRDefault="00CD772E" w:rsidP="00CD772E">
            <w:pPr>
              <w:autoSpaceDE w:val="0"/>
              <w:autoSpaceDN w:val="0"/>
              <w:adjustRightInd w:val="0"/>
              <w:contextualSpacing w:val="0"/>
              <w:jc w:val="left"/>
              <w:rPr>
                <w:rFonts w:cs="Segoe UI Semilight"/>
                <w:color w:val="000000"/>
                <w:sz w:val="22"/>
                <w:lang w:val="sq-AL"/>
              </w:rPr>
            </w:pPr>
            <w:r w:rsidRPr="00082FA3">
              <w:rPr>
                <w:rFonts w:cs="Segoe UI Semilight"/>
                <w:color w:val="000000"/>
                <w:sz w:val="22"/>
                <w:lang w:val="sq-AL"/>
              </w:rPr>
              <w:t>4.1.3. Zbatimi i rekomandimeve të dala nga analiza</w:t>
            </w:r>
          </w:p>
        </w:tc>
        <w:tc>
          <w:tcPr>
            <w:tcW w:w="4323" w:type="dxa"/>
            <w:tcBorders>
              <w:top w:val="single" w:sz="6" w:space="0" w:color="auto"/>
              <w:left w:val="single" w:sz="6" w:space="0" w:color="auto"/>
              <w:bottom w:val="single" w:sz="6" w:space="0" w:color="auto"/>
              <w:right w:val="single" w:sz="6" w:space="0" w:color="auto"/>
            </w:tcBorders>
          </w:tcPr>
          <w:p w14:paraId="43E23F55" w14:textId="77777777" w:rsidR="00CD772E" w:rsidRPr="00082FA3" w:rsidRDefault="00CD772E" w:rsidP="00CD772E">
            <w:pPr>
              <w:autoSpaceDE w:val="0"/>
              <w:autoSpaceDN w:val="0"/>
              <w:adjustRightInd w:val="0"/>
              <w:contextualSpacing w:val="0"/>
              <w:jc w:val="left"/>
              <w:rPr>
                <w:rFonts w:cs="Segoe UI Semilight"/>
                <w:color w:val="000000"/>
                <w:sz w:val="22"/>
                <w:lang w:val="sq-AL"/>
              </w:rPr>
            </w:pPr>
            <w:r w:rsidRPr="00082FA3">
              <w:rPr>
                <w:rFonts w:cs="Segoe UI Semilight"/>
                <w:color w:val="000000"/>
                <w:sz w:val="22"/>
                <w:lang w:val="sq-AL"/>
              </w:rPr>
              <w:t>Rekomandimet e dala nga analiza kanë filluar së zbatuari</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9A46B1B" w14:textId="77777777" w:rsidR="00CD772E" w:rsidRPr="00082FA3" w:rsidRDefault="00CD772E" w:rsidP="00CD772E">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0.5</w:t>
            </w:r>
          </w:p>
        </w:tc>
      </w:tr>
      <w:tr w:rsidR="00CD772E" w:rsidRPr="00082FA3" w14:paraId="4310A8F6" w14:textId="77777777" w:rsidTr="00CD772E">
        <w:trPr>
          <w:trHeight w:val="649"/>
        </w:trPr>
        <w:tc>
          <w:tcPr>
            <w:tcW w:w="8130" w:type="dxa"/>
            <w:gridSpan w:val="2"/>
            <w:tcBorders>
              <w:top w:val="single" w:sz="6" w:space="0" w:color="auto"/>
              <w:left w:val="single" w:sz="6" w:space="0" w:color="auto"/>
              <w:bottom w:val="single" w:sz="6" w:space="0" w:color="auto"/>
              <w:right w:val="nil"/>
            </w:tcBorders>
            <w:shd w:val="solid" w:color="C0C0C0" w:fill="auto"/>
          </w:tcPr>
          <w:p w14:paraId="0E7A4DAB" w14:textId="77777777" w:rsidR="00CD772E" w:rsidRPr="00082FA3" w:rsidRDefault="00CD772E" w:rsidP="00CD772E">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 xml:space="preserve">Masa/Nënobjektivi Strategjik: 4.1. Definimi i parimeve të sistemit për qasje të integruar për zhvillim të vullnetarizmit </w:t>
            </w:r>
          </w:p>
        </w:tc>
        <w:tc>
          <w:tcPr>
            <w:tcW w:w="993" w:type="dxa"/>
            <w:tcBorders>
              <w:top w:val="single" w:sz="6" w:space="0" w:color="auto"/>
              <w:left w:val="nil"/>
              <w:bottom w:val="single" w:sz="6" w:space="0" w:color="auto"/>
              <w:right w:val="single" w:sz="6" w:space="0" w:color="auto"/>
            </w:tcBorders>
            <w:shd w:val="clear" w:color="auto" w:fill="BFBFBF" w:themeFill="background1" w:themeFillShade="BF"/>
          </w:tcPr>
          <w:p w14:paraId="050244A9" w14:textId="77777777" w:rsidR="00CD772E" w:rsidRPr="00082FA3" w:rsidRDefault="00CD772E" w:rsidP="00CD772E">
            <w:pPr>
              <w:autoSpaceDE w:val="0"/>
              <w:autoSpaceDN w:val="0"/>
              <w:adjustRightInd w:val="0"/>
              <w:contextualSpacing w:val="0"/>
              <w:jc w:val="right"/>
              <w:rPr>
                <w:rFonts w:cs="Segoe UI Semilight"/>
                <w:color w:val="000000"/>
                <w:szCs w:val="20"/>
                <w:lang w:val="sq-AL"/>
              </w:rPr>
            </w:pPr>
          </w:p>
        </w:tc>
      </w:tr>
      <w:tr w:rsidR="00CD772E" w:rsidRPr="00082FA3" w14:paraId="1F69464F" w14:textId="77777777" w:rsidTr="00CD772E">
        <w:trPr>
          <w:trHeight w:val="562"/>
        </w:trPr>
        <w:tc>
          <w:tcPr>
            <w:tcW w:w="3807" w:type="dxa"/>
            <w:tcBorders>
              <w:top w:val="single" w:sz="6" w:space="0" w:color="auto"/>
              <w:left w:val="single" w:sz="6" w:space="0" w:color="auto"/>
              <w:bottom w:val="single" w:sz="6" w:space="0" w:color="auto"/>
              <w:right w:val="single" w:sz="6" w:space="0" w:color="auto"/>
            </w:tcBorders>
          </w:tcPr>
          <w:p w14:paraId="712ECD97" w14:textId="77777777" w:rsidR="00CD772E" w:rsidRPr="00082FA3" w:rsidRDefault="00CD772E" w:rsidP="00CD772E">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t>Asnjë aktivitet nuk është planifikuar sipas Matrices</w:t>
            </w:r>
          </w:p>
        </w:tc>
        <w:tc>
          <w:tcPr>
            <w:tcW w:w="4323" w:type="dxa"/>
            <w:tcBorders>
              <w:top w:val="single" w:sz="6" w:space="0" w:color="auto"/>
              <w:left w:val="single" w:sz="6" w:space="0" w:color="auto"/>
              <w:bottom w:val="single" w:sz="6" w:space="0" w:color="auto"/>
              <w:right w:val="single" w:sz="6" w:space="0" w:color="auto"/>
            </w:tcBorders>
          </w:tcPr>
          <w:p w14:paraId="2B920D19" w14:textId="77777777" w:rsidR="00CD772E" w:rsidRPr="00082FA3" w:rsidRDefault="00CD772E" w:rsidP="00CD772E">
            <w:pPr>
              <w:autoSpaceDE w:val="0"/>
              <w:autoSpaceDN w:val="0"/>
              <w:adjustRightInd w:val="0"/>
              <w:contextualSpacing w:val="0"/>
              <w:jc w:val="left"/>
              <w:rPr>
                <w:rFonts w:cs="Segoe UI Semilight"/>
                <w:color w:val="000000"/>
                <w:szCs w:val="20"/>
                <w:lang w:val="sq-AL"/>
              </w:rPr>
            </w:pPr>
          </w:p>
        </w:tc>
        <w:tc>
          <w:tcPr>
            <w:tcW w:w="993" w:type="dxa"/>
            <w:tcBorders>
              <w:top w:val="single" w:sz="6" w:space="0" w:color="auto"/>
              <w:left w:val="single" w:sz="6" w:space="0" w:color="auto"/>
              <w:bottom w:val="single" w:sz="6" w:space="0" w:color="auto"/>
              <w:right w:val="single" w:sz="6" w:space="0" w:color="auto"/>
            </w:tcBorders>
          </w:tcPr>
          <w:p w14:paraId="1D0D39A6" w14:textId="77777777" w:rsidR="00CD772E" w:rsidRPr="00082FA3" w:rsidRDefault="00CD772E" w:rsidP="00CD772E">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N/A</w:t>
            </w:r>
          </w:p>
        </w:tc>
      </w:tr>
      <w:tr w:rsidR="00CD772E" w:rsidRPr="00082FA3" w14:paraId="241990D1" w14:textId="77777777" w:rsidTr="00CD772E">
        <w:trPr>
          <w:trHeight w:val="649"/>
        </w:trPr>
        <w:tc>
          <w:tcPr>
            <w:tcW w:w="8130" w:type="dxa"/>
            <w:gridSpan w:val="2"/>
            <w:tcBorders>
              <w:top w:val="single" w:sz="6" w:space="0" w:color="auto"/>
              <w:left w:val="single" w:sz="6" w:space="0" w:color="auto"/>
              <w:bottom w:val="single" w:sz="6" w:space="0" w:color="auto"/>
              <w:right w:val="nil"/>
            </w:tcBorders>
            <w:shd w:val="solid" w:color="C0C0C0" w:fill="auto"/>
          </w:tcPr>
          <w:p w14:paraId="24BB1699" w14:textId="77777777" w:rsidR="00CD772E" w:rsidRPr="00082FA3" w:rsidRDefault="00CD772E" w:rsidP="00CD772E">
            <w:pPr>
              <w:autoSpaceDE w:val="0"/>
              <w:autoSpaceDN w:val="0"/>
              <w:adjustRightInd w:val="0"/>
              <w:contextualSpacing w:val="0"/>
              <w:jc w:val="left"/>
              <w:rPr>
                <w:rFonts w:cs="Segoe UI Semilight"/>
                <w:b/>
                <w:bCs/>
                <w:color w:val="000000"/>
                <w:szCs w:val="20"/>
                <w:lang w:val="sq-AL"/>
              </w:rPr>
            </w:pPr>
            <w:r w:rsidRPr="00082FA3">
              <w:rPr>
                <w:rFonts w:cs="Segoe UI Semilight"/>
                <w:b/>
                <w:bCs/>
                <w:color w:val="000000"/>
                <w:szCs w:val="20"/>
                <w:lang w:val="sq-AL"/>
              </w:rPr>
              <w:t>Masa/Nënobjektivi Strategjik: 4.3. Krijimi i sistemit të monitorimit dhe raportimit mbi vullnetarizëm</w:t>
            </w:r>
          </w:p>
        </w:tc>
        <w:tc>
          <w:tcPr>
            <w:tcW w:w="993" w:type="dxa"/>
            <w:tcBorders>
              <w:top w:val="single" w:sz="6" w:space="0" w:color="auto"/>
              <w:left w:val="nil"/>
              <w:bottom w:val="single" w:sz="6" w:space="0" w:color="auto"/>
              <w:right w:val="single" w:sz="6" w:space="0" w:color="auto"/>
            </w:tcBorders>
            <w:shd w:val="clear" w:color="auto" w:fill="BFBFBF" w:themeFill="background1" w:themeFillShade="BF"/>
          </w:tcPr>
          <w:p w14:paraId="385EB384" w14:textId="77777777" w:rsidR="00CD772E" w:rsidRPr="00082FA3" w:rsidRDefault="00CD772E" w:rsidP="00CD772E">
            <w:pPr>
              <w:autoSpaceDE w:val="0"/>
              <w:autoSpaceDN w:val="0"/>
              <w:adjustRightInd w:val="0"/>
              <w:contextualSpacing w:val="0"/>
              <w:jc w:val="right"/>
              <w:rPr>
                <w:rFonts w:cs="Segoe UI Semilight"/>
                <w:color w:val="000000"/>
                <w:szCs w:val="20"/>
                <w:lang w:val="sq-AL"/>
              </w:rPr>
            </w:pPr>
          </w:p>
        </w:tc>
      </w:tr>
      <w:tr w:rsidR="00CD772E" w:rsidRPr="00082FA3" w14:paraId="2A03935A" w14:textId="77777777" w:rsidTr="00CD772E">
        <w:trPr>
          <w:trHeight w:val="562"/>
        </w:trPr>
        <w:tc>
          <w:tcPr>
            <w:tcW w:w="3807" w:type="dxa"/>
            <w:tcBorders>
              <w:top w:val="single" w:sz="6" w:space="0" w:color="auto"/>
              <w:left w:val="single" w:sz="6" w:space="0" w:color="auto"/>
              <w:bottom w:val="single" w:sz="6" w:space="0" w:color="auto"/>
              <w:right w:val="single" w:sz="6" w:space="0" w:color="auto"/>
            </w:tcBorders>
          </w:tcPr>
          <w:p w14:paraId="03D56ECE" w14:textId="77777777" w:rsidR="00CD772E" w:rsidRPr="00082FA3" w:rsidRDefault="00CD772E" w:rsidP="00CD772E">
            <w:pPr>
              <w:autoSpaceDE w:val="0"/>
              <w:autoSpaceDN w:val="0"/>
              <w:adjustRightInd w:val="0"/>
              <w:contextualSpacing w:val="0"/>
              <w:jc w:val="left"/>
              <w:rPr>
                <w:rFonts w:cs="Segoe UI Semilight"/>
                <w:color w:val="000000"/>
                <w:szCs w:val="20"/>
                <w:lang w:val="sq-AL"/>
              </w:rPr>
            </w:pPr>
            <w:r w:rsidRPr="00082FA3">
              <w:rPr>
                <w:rFonts w:cs="Segoe UI Semilight"/>
                <w:color w:val="000000"/>
                <w:szCs w:val="20"/>
                <w:lang w:val="sq-AL"/>
              </w:rPr>
              <w:lastRenderedPageBreak/>
              <w:t>Asnjë aktivitet nuk është planifikuar sipas Matrices</w:t>
            </w:r>
          </w:p>
        </w:tc>
        <w:tc>
          <w:tcPr>
            <w:tcW w:w="4323" w:type="dxa"/>
            <w:tcBorders>
              <w:top w:val="single" w:sz="6" w:space="0" w:color="auto"/>
              <w:left w:val="single" w:sz="6" w:space="0" w:color="auto"/>
              <w:bottom w:val="single" w:sz="6" w:space="0" w:color="auto"/>
              <w:right w:val="single" w:sz="6" w:space="0" w:color="auto"/>
            </w:tcBorders>
          </w:tcPr>
          <w:p w14:paraId="2E089640" w14:textId="77777777" w:rsidR="00CD772E" w:rsidRPr="00082FA3" w:rsidRDefault="00CD772E" w:rsidP="00CD772E">
            <w:pPr>
              <w:autoSpaceDE w:val="0"/>
              <w:autoSpaceDN w:val="0"/>
              <w:adjustRightInd w:val="0"/>
              <w:contextualSpacing w:val="0"/>
              <w:jc w:val="right"/>
              <w:rPr>
                <w:rFonts w:cs="Segoe UI Semilight"/>
                <w:color w:val="000000"/>
                <w:szCs w:val="20"/>
                <w:lang w:val="sq-AL"/>
              </w:rPr>
            </w:pPr>
          </w:p>
        </w:tc>
        <w:tc>
          <w:tcPr>
            <w:tcW w:w="993" w:type="dxa"/>
            <w:tcBorders>
              <w:top w:val="single" w:sz="6" w:space="0" w:color="auto"/>
              <w:left w:val="single" w:sz="6" w:space="0" w:color="auto"/>
              <w:bottom w:val="single" w:sz="6" w:space="0" w:color="auto"/>
              <w:right w:val="single" w:sz="6" w:space="0" w:color="auto"/>
            </w:tcBorders>
          </w:tcPr>
          <w:p w14:paraId="1A78DEAF" w14:textId="77777777" w:rsidR="00CD772E" w:rsidRPr="00082FA3" w:rsidRDefault="00CD772E" w:rsidP="00CD772E">
            <w:pPr>
              <w:autoSpaceDE w:val="0"/>
              <w:autoSpaceDN w:val="0"/>
              <w:adjustRightInd w:val="0"/>
              <w:contextualSpacing w:val="0"/>
              <w:jc w:val="center"/>
              <w:rPr>
                <w:rFonts w:cs="Segoe UI Semilight"/>
                <w:color w:val="000000"/>
                <w:szCs w:val="20"/>
                <w:lang w:val="sq-AL"/>
              </w:rPr>
            </w:pPr>
            <w:r w:rsidRPr="00082FA3">
              <w:rPr>
                <w:rFonts w:cs="Segoe UI Semilight"/>
                <w:color w:val="000000"/>
                <w:szCs w:val="20"/>
                <w:lang w:val="sq-AL"/>
              </w:rPr>
              <w:t>N/A</w:t>
            </w:r>
          </w:p>
        </w:tc>
      </w:tr>
    </w:tbl>
    <w:p w14:paraId="0B39B98F" w14:textId="77777777" w:rsidR="00CD772E" w:rsidRPr="00082FA3" w:rsidRDefault="00CD772E" w:rsidP="00907367">
      <w:pPr>
        <w:rPr>
          <w:rFonts w:cs="Calibri Light"/>
          <w:lang w:val="sq-AL"/>
        </w:rPr>
      </w:pPr>
    </w:p>
    <w:p w14:paraId="483CF323" w14:textId="77777777" w:rsidR="00CD772E" w:rsidRPr="00082FA3" w:rsidRDefault="00CD772E" w:rsidP="002C70EF">
      <w:pPr>
        <w:rPr>
          <w:lang w:val="sq-AL"/>
        </w:rPr>
      </w:pPr>
    </w:p>
    <w:p w14:paraId="51E014A2" w14:textId="1E272FB7" w:rsidR="003450C4" w:rsidRPr="00082FA3" w:rsidRDefault="00303927" w:rsidP="00303927">
      <w:pPr>
        <w:pStyle w:val="Heading2"/>
        <w:rPr>
          <w:rFonts w:cs="Calibri Light"/>
          <w:lang w:val="sq-AL"/>
        </w:rPr>
      </w:pPr>
      <w:bookmarkStart w:id="19" w:name="_Toc497820348"/>
      <w:r w:rsidRPr="00082FA3">
        <w:rPr>
          <w:rFonts w:cs="Calibri Light"/>
          <w:lang w:val="sq-AL"/>
        </w:rPr>
        <w:t xml:space="preserve">2.3. </w:t>
      </w:r>
      <w:r w:rsidR="00DD1E1C" w:rsidRPr="00082FA3">
        <w:rPr>
          <w:rFonts w:cs="Calibri Light"/>
          <w:lang w:val="sq-AL"/>
        </w:rPr>
        <w:t>Rezultatet dhe Ndikimi i Strategjisë</w:t>
      </w:r>
      <w:bookmarkEnd w:id="19"/>
    </w:p>
    <w:p w14:paraId="168EE145" w14:textId="095F523E" w:rsidR="00DD1E1C" w:rsidRPr="00082FA3" w:rsidRDefault="00DD1E1C" w:rsidP="007752F1">
      <w:pPr>
        <w:shd w:val="clear" w:color="auto" w:fill="B7FFFF"/>
        <w:rPr>
          <w:rFonts w:cs="Calibri Light"/>
          <w:i/>
          <w:lang w:val="sq-AL"/>
        </w:rPr>
      </w:pPr>
      <w:r w:rsidRPr="00082FA3">
        <w:rPr>
          <w:rFonts w:cs="Calibri Light"/>
          <w:i/>
          <w:lang w:val="sq-AL"/>
        </w:rPr>
        <w:t xml:space="preserve">Shumë e vështirë për t'u matur – </w:t>
      </w:r>
      <w:r w:rsidRPr="00082FA3">
        <w:rPr>
          <w:rFonts w:cs="Calibri Light"/>
          <w:b/>
          <w:i/>
          <w:lang w:val="sq-AL"/>
        </w:rPr>
        <w:t>nevojiten të dhëna bazike më të mira</w:t>
      </w:r>
      <w:r w:rsidRPr="00082FA3">
        <w:rPr>
          <w:rFonts w:cs="Calibri Light"/>
          <w:i/>
          <w:lang w:val="sq-AL"/>
        </w:rPr>
        <w:t xml:space="preserve"> - listoni disa rekomandime për matjen më të mirë të ndikimit të përgjithshëm të Strategjisë së re.</w:t>
      </w:r>
    </w:p>
    <w:p w14:paraId="0B41B064" w14:textId="3C4C48B1" w:rsidR="008C659D" w:rsidRPr="00082FA3" w:rsidRDefault="008C659D" w:rsidP="00816E9D">
      <w:pPr>
        <w:rPr>
          <w:lang w:val="sq-AL"/>
        </w:rPr>
      </w:pPr>
    </w:p>
    <w:p w14:paraId="525E3474" w14:textId="0CEA34A9" w:rsidR="007F0B8D" w:rsidRPr="00082FA3" w:rsidRDefault="007F0B8D" w:rsidP="00816E9D">
      <w:pPr>
        <w:rPr>
          <w:lang w:val="sq-AL"/>
        </w:rPr>
      </w:pPr>
      <w:r w:rsidRPr="00082FA3">
        <w:rPr>
          <w:lang w:val="sq-AL"/>
        </w:rPr>
        <w:t>Strategjia është futur në kontekstin e përgjithshëm politik, ekonomik, social dhe kulturor të vendit. Por, deri në çfarë mase ka ndikuar në forcimin e bashkëpunimit në mes të qeverisë dhe shoqërisë civile është akoma e diskutueshme. Nga përkufizimi, rezultatet e Strategjisë përcaktojnë ndryshime të rëndësishme që çojnë në ndikim përfundimtar. Rezultatet më të rëndësishme që kanë pasur efektin përfundimtar në zhvillimin e shoqërisë civile përfshihen me sa vijon:</w:t>
      </w:r>
    </w:p>
    <w:p w14:paraId="77DFFF9E" w14:textId="77777777" w:rsidR="007F0B8D" w:rsidRPr="00082FA3" w:rsidRDefault="007F0B8D" w:rsidP="00816E9D">
      <w:pPr>
        <w:rPr>
          <w:lang w:val="sq-AL"/>
        </w:rPr>
      </w:pPr>
    </w:p>
    <w:p w14:paraId="64D27D83" w14:textId="48C96A17" w:rsidR="007F0B8D" w:rsidRPr="00082FA3" w:rsidRDefault="007F0B8D" w:rsidP="007F0B8D">
      <w:pPr>
        <w:pStyle w:val="ListParagraph"/>
        <w:numPr>
          <w:ilvl w:val="0"/>
          <w:numId w:val="15"/>
        </w:numPr>
        <w:rPr>
          <w:lang w:val="sq-AL"/>
        </w:rPr>
      </w:pPr>
      <w:r w:rsidRPr="00082FA3">
        <w:rPr>
          <w:lang w:val="sq-AL"/>
        </w:rPr>
        <w:t xml:space="preserve">Platforma online/Baza e të Dhënave dhe Rregullorja për Standardet Minimale për Konsultimet Publike kanë ndryshuar diskursin e politikave me më shumë palë të shoqërisë civile të përfshirë në konsultimet publike. Në total, </w:t>
      </w:r>
      <w:r w:rsidRPr="00082FA3">
        <w:rPr>
          <w:b/>
          <w:lang w:val="sq-AL"/>
        </w:rPr>
        <w:t xml:space="preserve">21 përqind </w:t>
      </w:r>
      <w:r w:rsidRPr="00082FA3">
        <w:rPr>
          <w:lang w:val="sq-AL"/>
        </w:rPr>
        <w:t>e projektligjeve, koncept dokumenteve dhe strategjive janë konsultuar përmes Platformës Online për periudhën 1 janar - 31 gusht 2017. Duke pasur parasysh kapacitetet në rritje të nëpunësve civilë dhe shoqërisë civile në kuptimin dhe përdorimin e platformës, ministritë kanë arritur të kuptojnë rëndësinë e arritjes së një aud</w:t>
      </w:r>
      <w:r w:rsidR="00A97764" w:rsidRPr="00082FA3">
        <w:rPr>
          <w:lang w:val="sq-AL"/>
        </w:rPr>
        <w:t>ience</w:t>
      </w:r>
      <w:r w:rsidRPr="00082FA3">
        <w:rPr>
          <w:lang w:val="sq-AL"/>
        </w:rPr>
        <w:t xml:space="preserve"> më të gjerë duke publikuar politika për konsultime publike. Po ashtu, shoqëria civile ka kuptuar nevojën për të bërë më shumë kërkime në mënyrë që të jenë më të përgatitur dhe efektivë në politik</w:t>
      </w:r>
      <w:r w:rsidR="00A97764" w:rsidRPr="00082FA3">
        <w:rPr>
          <w:lang w:val="sq-AL"/>
        </w:rPr>
        <w:t>ëbërje</w:t>
      </w:r>
      <w:r w:rsidRPr="00082FA3">
        <w:rPr>
          <w:lang w:val="sq-AL"/>
        </w:rPr>
        <w:t>.</w:t>
      </w:r>
    </w:p>
    <w:p w14:paraId="38D411DA" w14:textId="77777777" w:rsidR="0066101F" w:rsidRPr="00082FA3" w:rsidRDefault="0066101F" w:rsidP="0066101F">
      <w:pPr>
        <w:pStyle w:val="ListParagraph"/>
        <w:rPr>
          <w:lang w:val="sq-AL"/>
        </w:rPr>
      </w:pPr>
    </w:p>
    <w:p w14:paraId="77D76512" w14:textId="0BCF8C1D" w:rsidR="00514F9B" w:rsidRPr="00082FA3" w:rsidRDefault="00514F9B" w:rsidP="00514F9B">
      <w:pPr>
        <w:pStyle w:val="ListParagraph"/>
        <w:numPr>
          <w:ilvl w:val="0"/>
          <w:numId w:val="15"/>
        </w:numPr>
        <w:rPr>
          <w:lang w:val="sq-AL"/>
        </w:rPr>
      </w:pPr>
      <w:r w:rsidRPr="00082FA3">
        <w:rPr>
          <w:lang w:val="sq-AL"/>
        </w:rPr>
        <w:t xml:space="preserve">Rregullorja për kriteret, standardet dhe procedurat për financimin publik të OJQ-ve dhe Raporti mbi mbështetjen financiare publike për OJQ-të kanë ndryshuar diskursin e politikave. Mbi të gjitha, </w:t>
      </w:r>
      <w:r w:rsidR="007A422E" w:rsidRPr="00082FA3">
        <w:rPr>
          <w:lang w:val="sq-AL"/>
        </w:rPr>
        <w:t>ajo ka</w:t>
      </w:r>
      <w:r w:rsidRPr="00082FA3">
        <w:rPr>
          <w:lang w:val="sq-AL"/>
        </w:rPr>
        <w:t xml:space="preserve"> ndihmua</w:t>
      </w:r>
      <w:r w:rsidR="007A422E" w:rsidRPr="00082FA3">
        <w:rPr>
          <w:lang w:val="sq-AL"/>
        </w:rPr>
        <w:t>r</w:t>
      </w:r>
      <w:r w:rsidRPr="00082FA3">
        <w:rPr>
          <w:lang w:val="sq-AL"/>
        </w:rPr>
        <w:t xml:space="preserve"> në krijimin e një </w:t>
      </w:r>
      <w:r w:rsidRPr="00082FA3">
        <w:rPr>
          <w:b/>
          <w:lang w:val="sq-AL"/>
        </w:rPr>
        <w:t>sistemi transparent dhe të përgjegjshëm</w:t>
      </w:r>
      <w:r w:rsidRPr="00082FA3">
        <w:rPr>
          <w:lang w:val="sq-AL"/>
        </w:rPr>
        <w:t xml:space="preserve"> të financimit të projekteve dhe programeve të OJQ-ve / O</w:t>
      </w:r>
      <w:r w:rsidR="007A422E" w:rsidRPr="00082FA3">
        <w:rPr>
          <w:lang w:val="sq-AL"/>
        </w:rPr>
        <w:t>SHC</w:t>
      </w:r>
      <w:r w:rsidRPr="00082FA3">
        <w:rPr>
          <w:lang w:val="sq-AL"/>
        </w:rPr>
        <w:t xml:space="preserve">-ve, të cilat kanë qenë inekzistente në të kaluarën! Rregullorja dhe raporti tregojnë se institucionet publike (lokale dhe </w:t>
      </w:r>
      <w:r w:rsidR="007A422E" w:rsidRPr="00082FA3">
        <w:rPr>
          <w:lang w:val="sq-AL"/>
        </w:rPr>
        <w:t>qendrore</w:t>
      </w:r>
      <w:r w:rsidRPr="00082FA3">
        <w:rPr>
          <w:lang w:val="sq-AL"/>
        </w:rPr>
        <w:t xml:space="preserve">) duhet të jenë transparente dhe të </w:t>
      </w:r>
      <w:r w:rsidR="007A422E" w:rsidRPr="00082FA3">
        <w:rPr>
          <w:lang w:val="sq-AL"/>
        </w:rPr>
        <w:t>japin llogari</w:t>
      </w:r>
      <w:r w:rsidRPr="00082FA3">
        <w:rPr>
          <w:lang w:val="sq-AL"/>
        </w:rPr>
        <w:t xml:space="preserve"> kur financohen projekte të shoqërisë civile, me kusht që ato të planifikohen mirë, zbatohen dhe vlerësohen, me qëllim të përmirësimit të mirëqenies së përgjithshme sociale.</w:t>
      </w:r>
      <w:r w:rsidR="000C1000" w:rsidRPr="00082FA3">
        <w:rPr>
          <w:lang w:val="sq-AL"/>
        </w:rPr>
        <w:t xml:space="preserve"> </w:t>
      </w:r>
    </w:p>
    <w:p w14:paraId="1D4D5715" w14:textId="77777777" w:rsidR="00514F9B" w:rsidRPr="00082FA3" w:rsidRDefault="00514F9B" w:rsidP="00514F9B">
      <w:pPr>
        <w:pStyle w:val="ListParagraph"/>
        <w:rPr>
          <w:lang w:val="sq-AL"/>
        </w:rPr>
      </w:pPr>
    </w:p>
    <w:p w14:paraId="70DF5D6A" w14:textId="760C9C62" w:rsidR="009210B5" w:rsidRPr="00082FA3" w:rsidRDefault="009210B5" w:rsidP="00C53187">
      <w:pPr>
        <w:rPr>
          <w:lang w:val="sq-AL"/>
        </w:rPr>
      </w:pPr>
      <w:r w:rsidRPr="00082FA3">
        <w:rPr>
          <w:lang w:val="sq-AL"/>
        </w:rPr>
        <w:t>Rregulloret e fundit duhet të konsiderohen si një sukses. Megjithatë, në praktikë, ato nuk janë aplikuar ose zbatuar pasi që ato janë relativisht të reja në diskursin e politikave. Për zbatimin e Strategjisë së re, këto rregullore duhet të hyjnë në fuqi në shkallë më të madhe. Në fakt, arsyeja që nën-objektivat e vlerësuara në seksionin e mëparshëm nuk kanë marrë dritë jeshile në seksione të raportit me drita trafiku është sepse ato nuk kanë arritur progres të mjaftueshëm kur është fjala për zbatimin e politikave dhe ligjeve të caktuara në praktikë.</w:t>
      </w:r>
    </w:p>
    <w:p w14:paraId="5FF64326" w14:textId="0BFF46F4" w:rsidR="003450C4" w:rsidRPr="00082FA3" w:rsidRDefault="003450C4" w:rsidP="006854D7">
      <w:pPr>
        <w:pStyle w:val="Heading1"/>
        <w:rPr>
          <w:rFonts w:cs="Calibri Light"/>
          <w:lang w:val="sq-AL"/>
        </w:rPr>
      </w:pPr>
      <w:bookmarkStart w:id="20" w:name="_Toc497820349"/>
      <w:r w:rsidRPr="00082FA3">
        <w:rPr>
          <w:rFonts w:cs="Calibri Light"/>
          <w:lang w:val="sq-AL"/>
        </w:rPr>
        <w:t xml:space="preserve">3. </w:t>
      </w:r>
      <w:r w:rsidR="009210B5" w:rsidRPr="00082FA3">
        <w:rPr>
          <w:rFonts w:cs="Calibri Light"/>
          <w:lang w:val="sq-AL"/>
        </w:rPr>
        <w:t xml:space="preserve">Vlerësimi i </w:t>
      </w:r>
      <w:r w:rsidR="007562F7" w:rsidRPr="00082FA3">
        <w:rPr>
          <w:rFonts w:cs="Calibri Light"/>
          <w:lang w:val="sq-AL"/>
        </w:rPr>
        <w:t>E</w:t>
      </w:r>
      <w:r w:rsidR="00907367" w:rsidRPr="00082FA3">
        <w:rPr>
          <w:rFonts w:cs="Calibri Light"/>
          <w:lang w:val="sq-AL"/>
        </w:rPr>
        <w:t>f</w:t>
      </w:r>
      <w:r w:rsidR="009210B5" w:rsidRPr="00082FA3">
        <w:rPr>
          <w:rFonts w:cs="Calibri Light"/>
          <w:lang w:val="sq-AL"/>
        </w:rPr>
        <w:t>ikasitetit</w:t>
      </w:r>
      <w:bookmarkEnd w:id="20"/>
      <w:r w:rsidR="00D807FF" w:rsidRPr="00082FA3">
        <w:rPr>
          <w:rFonts w:cs="Calibri Light"/>
          <w:lang w:val="sq-AL"/>
        </w:rPr>
        <w:t xml:space="preserve"> </w:t>
      </w:r>
    </w:p>
    <w:p w14:paraId="057AE977" w14:textId="526684D3" w:rsidR="00002BBA" w:rsidRPr="00082FA3" w:rsidRDefault="009210B5" w:rsidP="007752F1">
      <w:pPr>
        <w:pBdr>
          <w:bottom w:val="single" w:sz="4" w:space="1" w:color="auto"/>
        </w:pBdr>
        <w:shd w:val="clear" w:color="auto" w:fill="B7FFFF"/>
        <w:rPr>
          <w:rFonts w:cs="Calibri Light"/>
          <w:lang w:val="sq-AL"/>
        </w:rPr>
      </w:pPr>
      <w:r w:rsidRPr="00082FA3">
        <w:rPr>
          <w:rFonts w:cs="Calibri Light"/>
          <w:lang w:val="sq-AL"/>
        </w:rPr>
        <w:t>Deri në çfarë mase qeveria ka ndarë burime efikase për zbatimin e Strategjisë?</w:t>
      </w:r>
      <w:r w:rsidR="00002BBA" w:rsidRPr="00082FA3">
        <w:rPr>
          <w:rFonts w:cs="Calibri Light"/>
          <w:lang w:val="sq-AL"/>
        </w:rPr>
        <w:t xml:space="preserve"> </w:t>
      </w:r>
    </w:p>
    <w:p w14:paraId="7230A8A9" w14:textId="70ECBC32" w:rsidR="003375A3" w:rsidRPr="00082FA3" w:rsidRDefault="00002BBA" w:rsidP="002877FD">
      <w:pPr>
        <w:jc w:val="left"/>
        <w:rPr>
          <w:rFonts w:cs="Calibri Light"/>
          <w:lang w:val="sq-AL"/>
        </w:rPr>
      </w:pPr>
      <w:r w:rsidRPr="00082FA3">
        <w:rPr>
          <w:rFonts w:cs="Calibri Light"/>
          <w:lang w:val="sq-AL"/>
        </w:rPr>
        <w:br/>
      </w:r>
      <w:r w:rsidR="009210B5" w:rsidRPr="00082FA3">
        <w:rPr>
          <w:rFonts w:cs="Calibri Light"/>
          <w:lang w:val="sq-AL"/>
        </w:rPr>
        <w:t xml:space="preserve">Aftësia e qeverisë për të zbatuar Strategjinë Qeveritare për Bashkëpunim me Shoqërinë Civile (2013-2017) nuk ka qenë aq e suksesshme. Fillimisht, Strategjia ka qenë subjekt i shumë vonesave në zbatim. Edhe pse Strategjia është miratuar në korrik të vitit 2013, aplikimi i saj ka filluar një vit më vonë, me Planin e parë të Veprimit të zhvilluar në dhjetor </w:t>
      </w:r>
      <w:r w:rsidR="002877FD" w:rsidRPr="00082FA3">
        <w:rPr>
          <w:rFonts w:cs="Calibri Light"/>
          <w:lang w:val="sq-AL"/>
        </w:rPr>
        <w:t xml:space="preserve">të vitit </w:t>
      </w:r>
      <w:r w:rsidR="009210B5" w:rsidRPr="00082FA3">
        <w:rPr>
          <w:rFonts w:cs="Calibri Light"/>
          <w:lang w:val="sq-AL"/>
        </w:rPr>
        <w:t>2014.</w:t>
      </w:r>
      <w:r w:rsidR="002877FD" w:rsidRPr="00082FA3">
        <w:rPr>
          <w:rStyle w:val="FootnoteReference"/>
          <w:rFonts w:cs="Calibri Light"/>
          <w:lang w:val="sq-AL"/>
        </w:rPr>
        <w:t xml:space="preserve"> </w:t>
      </w:r>
      <w:r w:rsidR="002877FD" w:rsidRPr="00082FA3">
        <w:rPr>
          <w:rStyle w:val="FootnoteReference"/>
          <w:rFonts w:cs="Calibri Light"/>
          <w:lang w:val="sq-AL"/>
        </w:rPr>
        <w:footnoteReference w:id="30"/>
      </w:r>
      <w:r w:rsidR="002877FD" w:rsidRPr="00082FA3">
        <w:rPr>
          <w:rFonts w:cs="Calibri Light"/>
          <w:lang w:val="sq-AL"/>
        </w:rPr>
        <w:t xml:space="preserve"> </w:t>
      </w:r>
      <w:r w:rsidR="009210B5" w:rsidRPr="00082FA3">
        <w:rPr>
          <w:rFonts w:cs="Calibri Light"/>
          <w:lang w:val="sq-AL"/>
        </w:rPr>
        <w:t xml:space="preserve"> Shtyrjet e mëtejshme përfshijnë konsolidimin e Këshillit në tetor 2014 dhe krijimin e mekanizmave për monitorim dhe raportim në 2015</w:t>
      </w:r>
      <w:r w:rsidR="002877FD" w:rsidRPr="00082FA3">
        <w:rPr>
          <w:rFonts w:cs="Calibri Light"/>
          <w:lang w:val="sq-AL"/>
        </w:rPr>
        <w:t>.</w:t>
      </w:r>
      <w:r w:rsidR="009210B5" w:rsidRPr="00082FA3">
        <w:rPr>
          <w:rFonts w:cs="Calibri Light"/>
          <w:lang w:val="sq-AL"/>
        </w:rPr>
        <w:t xml:space="preserve"> Deri më sot, Këshilli ushtron një rol adekuat në form</w:t>
      </w:r>
      <w:r w:rsidR="002877FD" w:rsidRPr="00082FA3">
        <w:rPr>
          <w:rFonts w:cs="Calibri Light"/>
          <w:lang w:val="sq-AL"/>
        </w:rPr>
        <w:t>ësimin</w:t>
      </w:r>
      <w:r w:rsidR="009210B5" w:rsidRPr="00082FA3">
        <w:rPr>
          <w:rFonts w:cs="Calibri Light"/>
          <w:lang w:val="sq-AL"/>
        </w:rPr>
        <w:t xml:space="preserve"> e politikave publike dhe frymëzon zhvillimin e shoqërisë civile. Në veçanti, </w:t>
      </w:r>
      <w:r w:rsidR="009210B5" w:rsidRPr="00082FA3">
        <w:rPr>
          <w:rFonts w:cs="Calibri Light"/>
          <w:lang w:val="sq-AL"/>
        </w:rPr>
        <w:lastRenderedPageBreak/>
        <w:t>Këshilli</w:t>
      </w:r>
      <w:r w:rsidR="002877FD" w:rsidRPr="00082FA3">
        <w:rPr>
          <w:rFonts w:cs="Calibri Light"/>
          <w:lang w:val="sq-AL"/>
        </w:rPr>
        <w:t>t i mungojnë</w:t>
      </w:r>
      <w:r w:rsidR="009210B5" w:rsidRPr="00082FA3">
        <w:rPr>
          <w:rFonts w:cs="Calibri Light"/>
          <w:lang w:val="sq-AL"/>
        </w:rPr>
        <w:t xml:space="preserve"> metodat dhe format e konsultimit dhe informimit të OSHC-ve lidh</w:t>
      </w:r>
      <w:r w:rsidR="002877FD" w:rsidRPr="00082FA3">
        <w:rPr>
          <w:rFonts w:cs="Calibri Light"/>
          <w:lang w:val="sq-AL"/>
        </w:rPr>
        <w:t>ur</w:t>
      </w:r>
      <w:r w:rsidR="009210B5" w:rsidRPr="00082FA3">
        <w:rPr>
          <w:rFonts w:cs="Calibri Light"/>
          <w:lang w:val="sq-AL"/>
        </w:rPr>
        <w:t xml:space="preserve"> me punën e ti</w:t>
      </w:r>
      <w:r w:rsidR="002877FD" w:rsidRPr="00082FA3">
        <w:rPr>
          <w:rFonts w:cs="Calibri Light"/>
          <w:lang w:val="sq-AL"/>
        </w:rPr>
        <w:t>j dhe rolin e shoqërisë civile për të</w:t>
      </w:r>
      <w:r w:rsidR="009210B5" w:rsidRPr="00082FA3">
        <w:rPr>
          <w:rFonts w:cs="Calibri Light"/>
          <w:lang w:val="sq-AL"/>
        </w:rPr>
        <w:t xml:space="preserve"> ndihm</w:t>
      </w:r>
      <w:r w:rsidR="002877FD" w:rsidRPr="00082FA3">
        <w:rPr>
          <w:rFonts w:cs="Calibri Light"/>
          <w:lang w:val="sq-AL"/>
        </w:rPr>
        <w:t>uar</w:t>
      </w:r>
      <w:r w:rsidR="009210B5" w:rsidRPr="00082FA3">
        <w:rPr>
          <w:rFonts w:cs="Calibri Light"/>
          <w:lang w:val="sq-AL"/>
        </w:rPr>
        <w:t xml:space="preserve"> qeverinë të krijojë politika gjithëpërfshirëse dhe të ofrojë shërbime në emër të interesit publik.</w:t>
      </w:r>
    </w:p>
    <w:p w14:paraId="61C6F579" w14:textId="04817A99" w:rsidR="00907367" w:rsidRPr="00082FA3" w:rsidRDefault="00816B30" w:rsidP="007562F7">
      <w:pPr>
        <w:pStyle w:val="Heading2"/>
        <w:rPr>
          <w:rFonts w:cs="Calibri Light"/>
          <w:lang w:val="sq-AL"/>
        </w:rPr>
      </w:pPr>
      <w:bookmarkStart w:id="21" w:name="_Toc497820350"/>
      <w:r w:rsidRPr="00082FA3">
        <w:rPr>
          <w:rFonts w:cs="Calibri Light"/>
          <w:lang w:val="sq-AL"/>
        </w:rPr>
        <w:t xml:space="preserve">3.1 </w:t>
      </w:r>
      <w:r w:rsidR="00DF3F31" w:rsidRPr="00082FA3">
        <w:rPr>
          <w:rFonts w:cs="Calibri Light"/>
          <w:lang w:val="sq-AL"/>
        </w:rPr>
        <w:t>Mjaftueshmëria e burimeve për arritjen e objektivave të Strategjisë dhe Planit të Veprimit</w:t>
      </w:r>
      <w:bookmarkEnd w:id="21"/>
    </w:p>
    <w:p w14:paraId="6ADF8AE4" w14:textId="4EE78F30" w:rsidR="00F21220" w:rsidRPr="00082FA3" w:rsidRDefault="00F21220" w:rsidP="004241F1">
      <w:pPr>
        <w:rPr>
          <w:rFonts w:cs="Calibri Light"/>
          <w:lang w:val="sq-AL"/>
        </w:rPr>
      </w:pPr>
      <w:r w:rsidRPr="00082FA3">
        <w:rPr>
          <w:rFonts w:cs="Calibri Light"/>
          <w:lang w:val="sq-AL"/>
        </w:rPr>
        <w:t>Burimet financiare dhe njerëzore kanë qenë jashtëzakonisht të kufizuara për arritjen e objektivave të Strategjisë dhe Planit të Veprimit. Qeveria kurrë nuk ka ndarë buxhet për zbatimin e Strategjisë.</w:t>
      </w:r>
      <w:r w:rsidRPr="00082FA3">
        <w:rPr>
          <w:rStyle w:val="FootnoteReference"/>
          <w:rFonts w:cs="Calibri Light"/>
          <w:lang w:val="sq-AL"/>
        </w:rPr>
        <w:footnoteReference w:id="31"/>
      </w:r>
      <w:r w:rsidRPr="00082FA3">
        <w:rPr>
          <w:rFonts w:cs="Calibri Light"/>
          <w:lang w:val="sq-AL"/>
        </w:rPr>
        <w:t xml:space="preserve"> Për këtë qëllim, shumica e aktiviteteve në këtë drejtim u varën nga mbështetja e donatorëve të jashtëm nga organizata të tilla si Komisioni Evropian (KE), Asistenca Teknike për OSHC-të (TACSO), Korporata Gjermane për Bashkëpunim Ndërkombëtar (GIZ) dhe Fondacioni Friedrich Ebert (FES ). Në veçanti, projekti i financuar nga KE, </w:t>
      </w:r>
      <w:r w:rsidRPr="00082FA3">
        <w:rPr>
          <w:rFonts w:cs="Calibri Light"/>
          <w:i/>
          <w:lang w:val="sq-AL"/>
        </w:rPr>
        <w:t xml:space="preserve">"Mbështetje për Zbatimin e Strategjisë Qeveritare për Bashkëpunimin me Shoqërinë Civile" </w:t>
      </w:r>
      <w:r w:rsidRPr="00082FA3">
        <w:rPr>
          <w:rFonts w:cs="Calibri Light"/>
          <w:lang w:val="sq-AL"/>
        </w:rPr>
        <w:t>ka pasur një efekt të rëndësishëm në dy (2) vitet e fundit sa i përket përmbushjes së objektivave të Strategjisë.</w:t>
      </w:r>
      <w:r w:rsidRPr="00082FA3">
        <w:rPr>
          <w:rStyle w:val="FootnoteReference"/>
          <w:rFonts w:cs="Calibri Light"/>
          <w:lang w:val="sq-AL"/>
        </w:rPr>
        <w:footnoteReference w:id="32"/>
      </w:r>
      <w:r w:rsidR="002C70EF" w:rsidRPr="00082FA3">
        <w:rPr>
          <w:rFonts w:cs="Calibri Light"/>
          <w:lang w:val="sq-AL"/>
        </w:rPr>
        <w:t xml:space="preserve"> Gjithashtu, KCSF ka nënshkruar Memorandum të Mirëkuptimit me qeverinë për trajnimin e OJQ-ve për konsultimet publike dhe shfrytëzimin e Platformës Online. </w:t>
      </w:r>
    </w:p>
    <w:p w14:paraId="052448FD" w14:textId="246D052C" w:rsidR="00002BBA" w:rsidRPr="00082FA3" w:rsidRDefault="00002BBA" w:rsidP="004241F1">
      <w:pPr>
        <w:rPr>
          <w:rFonts w:cs="Calibri Light"/>
          <w:lang w:val="sq-AL"/>
        </w:rPr>
      </w:pPr>
    </w:p>
    <w:p w14:paraId="0EC9AD0A" w14:textId="6202E4D4" w:rsidR="00F21220" w:rsidRPr="00082FA3" w:rsidRDefault="00F21220" w:rsidP="004241F1">
      <w:pPr>
        <w:rPr>
          <w:rFonts w:cs="Calibri Light"/>
          <w:lang w:val="sq-AL"/>
        </w:rPr>
      </w:pPr>
      <w:r w:rsidRPr="00082FA3">
        <w:rPr>
          <w:rFonts w:cs="Calibri Light"/>
          <w:lang w:val="sq-AL"/>
        </w:rPr>
        <w:t xml:space="preserve">Shuma vjetore e buxhetit e kërkuar për zbatimin e Planit të Punës të Strategjisë për vitin 2015-2016 ishte rreth </w:t>
      </w:r>
      <w:r w:rsidRPr="00082FA3">
        <w:rPr>
          <w:rFonts w:cs="Calibri Light"/>
          <w:b/>
          <w:lang w:val="sq-AL"/>
        </w:rPr>
        <w:t>250,000-300,000 Euro</w:t>
      </w:r>
      <w:r w:rsidRPr="00082FA3">
        <w:rPr>
          <w:rFonts w:cs="Calibri Light"/>
          <w:lang w:val="sq-AL"/>
        </w:rPr>
        <w:t xml:space="preserve"> </w:t>
      </w:r>
      <w:r w:rsidRPr="00082FA3">
        <w:rPr>
          <w:rFonts w:cs="Calibri Light"/>
          <w:i/>
          <w:lang w:val="sq-AL"/>
        </w:rPr>
        <w:t>(për çdo vit).</w:t>
      </w:r>
      <w:r w:rsidRPr="00082FA3">
        <w:rPr>
          <w:rFonts w:cs="Calibri Light"/>
          <w:lang w:val="sq-AL"/>
        </w:rPr>
        <w:t xml:space="preserve"> Për fat të keq, nuk ka informacion mbi alokimet buxhetore me përjashtim të shpenzimeve administrative të bëra nga ZQM dhe institucionet e tjera përkatëse.</w:t>
      </w:r>
      <w:r w:rsidRPr="00082FA3">
        <w:rPr>
          <w:rStyle w:val="FootnoteReference"/>
          <w:rFonts w:cs="Calibri Light"/>
          <w:lang w:val="sq-AL"/>
        </w:rPr>
        <w:footnoteReference w:id="33"/>
      </w:r>
      <w:r w:rsidRPr="00082FA3">
        <w:rPr>
          <w:rFonts w:cs="Calibri Light"/>
          <w:lang w:val="sq-AL"/>
        </w:rPr>
        <w:t xml:space="preserve"> Kjo shumë nuk është e mjaftueshme për të mbuluar shpenzimet e ZQM-së si Sekretariat i Këshillit, i cili nuk është përgjegjës vetëm për monitorimin dhe raportimin e zbatimit të Strategjisë, por edhe lehtësimin e punës së Këshillit në këtë proces. Nga perspektiva e Platformës CiviKos, "për një zbatim më të suksesshëm të Strategjisë, Sekretariati nuk është mbështetur me burime të mjaftueshme financiare dhe njerëzore nga Zyra e Kryeministrit (ZKM)</w:t>
      </w:r>
      <w:r w:rsidRPr="00082FA3">
        <w:rPr>
          <w:rStyle w:val="FootnoteReference"/>
          <w:rFonts w:cs="Calibri Light"/>
          <w:lang w:val="sq-AL"/>
        </w:rPr>
        <w:t xml:space="preserve"> </w:t>
      </w:r>
      <w:r w:rsidRPr="00082FA3">
        <w:rPr>
          <w:rStyle w:val="FootnoteReference"/>
          <w:rFonts w:cs="Calibri Light"/>
          <w:lang w:val="sq-AL"/>
        </w:rPr>
        <w:footnoteReference w:id="34"/>
      </w:r>
    </w:p>
    <w:p w14:paraId="22B2C954" w14:textId="77777777" w:rsidR="00F21220" w:rsidRPr="00082FA3" w:rsidRDefault="00F21220" w:rsidP="004241F1">
      <w:pPr>
        <w:rPr>
          <w:rFonts w:cs="Calibri Light"/>
          <w:lang w:val="sq-AL"/>
        </w:rPr>
      </w:pPr>
    </w:p>
    <w:p w14:paraId="0E132A1B" w14:textId="37BD21C9" w:rsidR="008C659D" w:rsidRPr="00082FA3" w:rsidRDefault="00816B30" w:rsidP="003375A3">
      <w:pPr>
        <w:pStyle w:val="Heading2"/>
        <w:rPr>
          <w:rFonts w:cs="Calibri Light"/>
          <w:lang w:val="sq-AL"/>
        </w:rPr>
      </w:pPr>
      <w:bookmarkStart w:id="22" w:name="_Toc497820351"/>
      <w:r w:rsidRPr="00082FA3">
        <w:rPr>
          <w:rFonts w:cs="Calibri Light"/>
          <w:lang w:val="sq-AL"/>
        </w:rPr>
        <w:t xml:space="preserve">3.2 </w:t>
      </w:r>
      <w:r w:rsidR="002C2CA9" w:rsidRPr="00082FA3">
        <w:rPr>
          <w:rFonts w:cs="Calibri Light"/>
          <w:lang w:val="sq-AL"/>
        </w:rPr>
        <w:t>Nevoja për resurse shtesë dhe burime të mundshme të financimit</w:t>
      </w:r>
      <w:bookmarkEnd w:id="22"/>
    </w:p>
    <w:p w14:paraId="4C316C2F" w14:textId="0D3DEB6A" w:rsidR="002C2CA9" w:rsidRPr="00082FA3" w:rsidRDefault="002C2CA9" w:rsidP="00494F24">
      <w:pPr>
        <w:rPr>
          <w:rFonts w:cs="Calibri Light"/>
          <w:lang w:val="sq-AL"/>
        </w:rPr>
      </w:pPr>
      <w:r w:rsidRPr="00082FA3">
        <w:rPr>
          <w:rFonts w:cs="Calibri Light"/>
          <w:lang w:val="sq-AL"/>
        </w:rPr>
        <w:t xml:space="preserve">Në Raportin e fundit të Progresit të KE-së (2016), është raportuar se burimet e kufizuara buxhetore dhe kapacitetet e pamjaftueshme kanë nënvleftësuar nxitjet për zbatimin e Strategjisë dhe vazhdojnë të hedhin dyshime mbi vullnetin themelor politik për të ndryshuar </w:t>
      </w:r>
      <w:r w:rsidRPr="00082FA3">
        <w:rPr>
          <w:rFonts w:cs="Calibri Light"/>
          <w:i/>
          <w:lang w:val="sq-AL"/>
        </w:rPr>
        <w:t>status quo-në</w:t>
      </w:r>
      <w:r w:rsidRPr="00082FA3">
        <w:rPr>
          <w:rFonts w:cs="Calibri Light"/>
          <w:lang w:val="sq-AL"/>
        </w:rPr>
        <w:t>.</w:t>
      </w:r>
      <w:r w:rsidRPr="00082FA3">
        <w:rPr>
          <w:rStyle w:val="FootnoteReference"/>
          <w:rFonts w:cs="Calibri Light"/>
          <w:lang w:val="sq-AL"/>
        </w:rPr>
        <w:footnoteReference w:id="35"/>
      </w:r>
      <w:r w:rsidRPr="00082FA3">
        <w:rPr>
          <w:rFonts w:cs="Calibri Light"/>
          <w:lang w:val="sq-AL"/>
        </w:rPr>
        <w:t xml:space="preserve"> Në kontekstin e burimeve të pamjaftueshme financiare, ZQM në emër të Sekretariatit të Këshillit nuk ka qenë në gjendje të emërojë një nëpunës civil - </w:t>
      </w:r>
      <w:r w:rsidRPr="00082FA3">
        <w:rPr>
          <w:rFonts w:cs="Calibri Light"/>
          <w:i/>
          <w:lang w:val="sq-AL"/>
        </w:rPr>
        <w:t xml:space="preserve">në kundërshtim me </w:t>
      </w:r>
      <w:r w:rsidR="00954620" w:rsidRPr="00082FA3">
        <w:rPr>
          <w:rFonts w:cs="Calibri Light"/>
          <w:i/>
          <w:lang w:val="sq-AL"/>
        </w:rPr>
        <w:t>emërimin</w:t>
      </w:r>
      <w:r w:rsidRPr="00082FA3">
        <w:rPr>
          <w:rFonts w:cs="Calibri Light"/>
          <w:i/>
          <w:lang w:val="sq-AL"/>
        </w:rPr>
        <w:t xml:space="preserve"> e zyrtarëve të lartë për strategji apo politika të tjera</w:t>
      </w:r>
      <w:r w:rsidRPr="00082FA3">
        <w:rPr>
          <w:rFonts w:cs="Calibri Light"/>
          <w:lang w:val="sq-AL"/>
        </w:rPr>
        <w:t xml:space="preserve"> - i cili do të jetë përgjegjës për koordinimin e punës së Këshillit si dhe monitorimin e zbatimit të Strategjisë.</w:t>
      </w:r>
      <w:r w:rsidRPr="00082FA3">
        <w:rPr>
          <w:rStyle w:val="FootnoteReference"/>
          <w:rFonts w:cs="Calibri Light"/>
          <w:lang w:val="sq-AL"/>
        </w:rPr>
        <w:t xml:space="preserve"> </w:t>
      </w:r>
      <w:r w:rsidRPr="00082FA3">
        <w:rPr>
          <w:rStyle w:val="FootnoteReference"/>
          <w:rFonts w:cs="Calibri Light"/>
          <w:lang w:val="sq-AL"/>
        </w:rPr>
        <w:footnoteReference w:id="36"/>
      </w:r>
      <w:r w:rsidRPr="00082FA3">
        <w:rPr>
          <w:rFonts w:cs="Calibri Light"/>
          <w:lang w:val="sq-AL"/>
        </w:rPr>
        <w:t xml:space="preserve">  Kjo e pengon punën e Sekretariatit për të bërë punën e vet duke marrë parasysh sfidën dhe kompleksitetin e trajtimit të shumë palëve institucionale dhe të shoqërisë civile!</w:t>
      </w:r>
    </w:p>
    <w:p w14:paraId="4B8BC2FF" w14:textId="77777777" w:rsidR="002C2CA9" w:rsidRPr="00082FA3" w:rsidRDefault="002C2CA9" w:rsidP="00494F24">
      <w:pPr>
        <w:rPr>
          <w:rFonts w:cs="Calibri Light"/>
          <w:lang w:val="sq-AL"/>
        </w:rPr>
      </w:pPr>
    </w:p>
    <w:p w14:paraId="57D9F4B0" w14:textId="063C6BA7" w:rsidR="002C2CA9" w:rsidRPr="00082FA3" w:rsidRDefault="002C2CA9" w:rsidP="00494F24">
      <w:pPr>
        <w:rPr>
          <w:rFonts w:cs="Calibri Light"/>
          <w:lang w:val="sq-AL"/>
        </w:rPr>
      </w:pPr>
      <w:r w:rsidRPr="00082FA3">
        <w:rPr>
          <w:rFonts w:cs="Calibri Light"/>
          <w:lang w:val="sq-AL"/>
        </w:rPr>
        <w:t xml:space="preserve">Në përgjithësi, Këshilli ka qene i angazhuar në një masë të kufizuar në zbatimin e Strategjisë! Në mbledhjet e Këshillit, pjesëmarrja ka qenë relativisht e </w:t>
      </w:r>
      <w:r w:rsidRPr="00082FA3">
        <w:rPr>
          <w:rFonts w:cs="Calibri Light"/>
          <w:i/>
          <w:lang w:val="sq-AL"/>
        </w:rPr>
        <w:t>pamjaftueshme</w:t>
      </w:r>
      <w:r w:rsidRPr="00082FA3">
        <w:rPr>
          <w:rFonts w:cs="Calibri Light"/>
          <w:lang w:val="sq-AL"/>
        </w:rPr>
        <w:t>. Në shumicën e rasteve, anëtarët që përfaqësojnë institucionet qeveritare shpesh janë ndërruar, duke shkaktuar kështu sfida në procesin e vendimmarrjes dhe vazhdimësinë e punës.</w:t>
      </w:r>
      <w:r w:rsidRPr="00082FA3">
        <w:rPr>
          <w:rStyle w:val="FootnoteReference"/>
          <w:rFonts w:cs="Calibri Light"/>
          <w:lang w:val="sq-AL"/>
        </w:rPr>
        <w:footnoteReference w:id="37"/>
      </w:r>
      <w:r w:rsidRPr="00082FA3">
        <w:rPr>
          <w:rFonts w:cs="Calibri Light"/>
          <w:lang w:val="sq-AL"/>
        </w:rPr>
        <w:t xml:space="preserve"> Përfshirja e qeverisë në mbledhjet dhe konsultimet e Këshillit ka qenë jashtëzakonisht e ulët. Kjo, në veçanti, u bë problem për planifikimin dhe koordinimin e aktiviteteve të pritura </w:t>
      </w:r>
      <w:r w:rsidR="00775AA9" w:rsidRPr="00082FA3">
        <w:rPr>
          <w:rFonts w:cs="Calibri Light"/>
          <w:lang w:val="sq-AL"/>
        </w:rPr>
        <w:t>të</w:t>
      </w:r>
      <w:r w:rsidRPr="00082FA3">
        <w:rPr>
          <w:rFonts w:cs="Calibri Light"/>
          <w:lang w:val="sq-AL"/>
        </w:rPr>
        <w:t xml:space="preserve"> caktuar</w:t>
      </w:r>
      <w:r w:rsidR="00775AA9" w:rsidRPr="00082FA3">
        <w:rPr>
          <w:rFonts w:cs="Calibri Light"/>
          <w:lang w:val="sq-AL"/>
        </w:rPr>
        <w:t>a për</w:t>
      </w:r>
      <w:r w:rsidRPr="00082FA3">
        <w:rPr>
          <w:rFonts w:cs="Calibri Light"/>
          <w:lang w:val="sq-AL"/>
        </w:rPr>
        <w:t xml:space="preserve"> secili</w:t>
      </w:r>
      <w:r w:rsidR="00775AA9" w:rsidRPr="00082FA3">
        <w:rPr>
          <w:rFonts w:cs="Calibri Light"/>
          <w:lang w:val="sq-AL"/>
        </w:rPr>
        <w:t>n</w:t>
      </w:r>
      <w:r w:rsidRPr="00082FA3">
        <w:rPr>
          <w:rFonts w:cs="Calibri Light"/>
          <w:lang w:val="sq-AL"/>
        </w:rPr>
        <w:t xml:space="preserve"> institucion - me shumicën e t</w:t>
      </w:r>
      <w:r w:rsidR="00775AA9" w:rsidRPr="00082FA3">
        <w:rPr>
          <w:rFonts w:cs="Calibri Light"/>
          <w:lang w:val="sq-AL"/>
        </w:rPr>
        <w:t xml:space="preserve">yre </w:t>
      </w:r>
      <w:r w:rsidR="006F6915" w:rsidRPr="00082FA3">
        <w:rPr>
          <w:rFonts w:cs="Calibri Light"/>
          <w:lang w:val="sq-AL"/>
        </w:rPr>
        <w:t xml:space="preserve">duke </w:t>
      </w:r>
      <w:r w:rsidRPr="00082FA3">
        <w:rPr>
          <w:rFonts w:cs="Calibri Light"/>
          <w:lang w:val="sq-AL"/>
        </w:rPr>
        <w:t>refuz</w:t>
      </w:r>
      <w:r w:rsidR="006F6915" w:rsidRPr="00082FA3">
        <w:rPr>
          <w:rFonts w:cs="Calibri Light"/>
          <w:lang w:val="sq-AL"/>
        </w:rPr>
        <w:t>uar</w:t>
      </w:r>
      <w:r w:rsidRPr="00082FA3">
        <w:rPr>
          <w:rFonts w:cs="Calibri Light"/>
          <w:lang w:val="sq-AL"/>
        </w:rPr>
        <w:t xml:space="preserve"> të marrin përgjegjësinë dhe pronësinë. </w:t>
      </w:r>
      <w:r w:rsidR="006F6915" w:rsidRPr="00082FA3">
        <w:rPr>
          <w:rFonts w:cs="Calibri Light"/>
          <w:lang w:val="sq-AL"/>
        </w:rPr>
        <w:t xml:space="preserve">Gjithashtu edhe </w:t>
      </w:r>
      <w:r w:rsidRPr="00082FA3">
        <w:rPr>
          <w:rFonts w:cs="Calibri Light"/>
          <w:lang w:val="sq-AL"/>
        </w:rPr>
        <w:t xml:space="preserve">shoqëria civile nuk ka </w:t>
      </w:r>
      <w:r w:rsidRPr="00082FA3">
        <w:rPr>
          <w:rFonts w:cs="Calibri Light"/>
          <w:i/>
          <w:lang w:val="sq-AL"/>
        </w:rPr>
        <w:t>"përkushtim dhe ekspertizë"</w:t>
      </w:r>
      <w:r w:rsidR="006F6915" w:rsidRPr="00082FA3">
        <w:rPr>
          <w:rStyle w:val="FootnoteReference"/>
          <w:rFonts w:cs="Calibri Light"/>
          <w:lang w:val="sq-AL"/>
        </w:rPr>
        <w:footnoteReference w:id="38"/>
      </w:r>
      <w:r w:rsidR="006F6915" w:rsidRPr="00082FA3">
        <w:rPr>
          <w:rFonts w:cs="Calibri Light"/>
          <w:lang w:val="sq-AL"/>
        </w:rPr>
        <w:t xml:space="preserve"> </w:t>
      </w:r>
      <w:r w:rsidRPr="00082FA3">
        <w:rPr>
          <w:rFonts w:cs="Calibri Light"/>
          <w:i/>
          <w:lang w:val="sq-AL"/>
        </w:rPr>
        <w:t xml:space="preserve"> </w:t>
      </w:r>
      <w:r w:rsidRPr="00082FA3">
        <w:rPr>
          <w:rFonts w:cs="Calibri Light"/>
          <w:lang w:val="sq-AL"/>
        </w:rPr>
        <w:t xml:space="preserve">për </w:t>
      </w:r>
      <w:r w:rsidRPr="00082FA3">
        <w:rPr>
          <w:rFonts w:cs="Calibri Light"/>
          <w:lang w:val="sq-AL"/>
        </w:rPr>
        <w:lastRenderedPageBreak/>
        <w:t xml:space="preserve">zbatimin e Strategjisë. Grupet e punës të krijuara nga Platforma CiviKos si </w:t>
      </w:r>
      <w:r w:rsidRPr="00082FA3">
        <w:rPr>
          <w:rFonts w:cs="Calibri Light"/>
          <w:i/>
          <w:lang w:val="sq-AL"/>
        </w:rPr>
        <w:t>organe mbështetëse</w:t>
      </w:r>
      <w:r w:rsidRPr="00082FA3">
        <w:rPr>
          <w:rFonts w:cs="Calibri Light"/>
          <w:lang w:val="sq-AL"/>
        </w:rPr>
        <w:t xml:space="preserve"> për secilin prej katër (4) objektivave të Strategjisë kanë qenë pothuajse joaktive.</w:t>
      </w:r>
    </w:p>
    <w:p w14:paraId="5521B6A1" w14:textId="1CFA62F5" w:rsidR="006F6915" w:rsidRPr="00082FA3" w:rsidRDefault="006F6915" w:rsidP="00494F24">
      <w:pPr>
        <w:rPr>
          <w:rFonts w:cs="Calibri Light"/>
          <w:lang w:val="sq-AL"/>
        </w:rPr>
      </w:pPr>
    </w:p>
    <w:p w14:paraId="128603F6" w14:textId="7FB797A8" w:rsidR="001902C5" w:rsidRPr="00082FA3" w:rsidRDefault="001902C5" w:rsidP="00494F24">
      <w:pPr>
        <w:rPr>
          <w:rFonts w:cs="Calibri Light"/>
          <w:lang w:val="sq-AL"/>
        </w:rPr>
      </w:pPr>
      <w:r w:rsidRPr="00082FA3">
        <w:rPr>
          <w:rFonts w:cs="Calibri Light"/>
          <w:lang w:val="sq-AL"/>
        </w:rPr>
        <w:t xml:space="preserve">Mungesa e koordinimit të donatorëve në vitet e kaluara gjithashtu ka pasur ndikim në efikasitet. Përderisa ka pasur mbështetje shumëpalëshe dhe dypalëshe të donatorëve (p.sh. Komisioni </w:t>
      </w:r>
      <w:r w:rsidR="00954620" w:rsidRPr="00082FA3">
        <w:rPr>
          <w:rFonts w:cs="Calibri Light"/>
          <w:lang w:val="sq-AL"/>
        </w:rPr>
        <w:t>Evropian</w:t>
      </w:r>
      <w:r w:rsidRPr="00082FA3">
        <w:rPr>
          <w:rFonts w:cs="Calibri Light"/>
          <w:lang w:val="sq-AL"/>
        </w:rPr>
        <w:t xml:space="preserve">, Agjencia Suedeze e Bashkëpunimit për Zhvillim Ndërkombëtar, Swiss Cooperation, etj.), </w:t>
      </w:r>
      <w:r w:rsidR="001918BB" w:rsidRPr="00082FA3">
        <w:rPr>
          <w:rFonts w:cs="Calibri Light"/>
          <w:lang w:val="sq-AL"/>
        </w:rPr>
        <w:t xml:space="preserve">Kjo ka rrezikuar duplikimet </w:t>
      </w:r>
      <w:r w:rsidRPr="00082FA3">
        <w:rPr>
          <w:rFonts w:cs="Calibri Light"/>
          <w:lang w:val="sq-AL"/>
        </w:rPr>
        <w:t>e fondeve</w:t>
      </w:r>
      <w:r w:rsidR="001918BB" w:rsidRPr="00082FA3">
        <w:rPr>
          <w:rFonts w:cs="Calibri Light"/>
          <w:lang w:val="sq-AL"/>
        </w:rPr>
        <w:t xml:space="preserve"> dhe aktiviteteve</w:t>
      </w:r>
      <w:r w:rsidRPr="00082FA3">
        <w:rPr>
          <w:rFonts w:cs="Calibri Light"/>
          <w:lang w:val="sq-AL"/>
        </w:rPr>
        <w:t xml:space="preserve"> në mungesë të koordinimit të </w:t>
      </w:r>
      <w:r w:rsidR="001918BB" w:rsidRPr="00082FA3">
        <w:rPr>
          <w:rFonts w:cs="Calibri Light"/>
          <w:lang w:val="sq-AL"/>
        </w:rPr>
        <w:t xml:space="preserve">ngushtë të </w:t>
      </w:r>
      <w:r w:rsidRPr="00082FA3">
        <w:rPr>
          <w:rFonts w:cs="Calibri Light"/>
          <w:lang w:val="sq-AL"/>
        </w:rPr>
        <w:t xml:space="preserve">donatorëve. Prandaj, është e domosdoshme që koordinimi i donatorëve të përmirësohet në të ardhmen e afërt. Siç është theksuar në Raportin e Vlerësimit të Nevojave të TACSO-së </w:t>
      </w:r>
      <w:r w:rsidR="001918BB" w:rsidRPr="00082FA3">
        <w:rPr>
          <w:rFonts w:cs="Calibri Light"/>
          <w:lang w:val="sq-AL"/>
        </w:rPr>
        <w:t xml:space="preserve">në vitin </w:t>
      </w:r>
      <w:r w:rsidRPr="00082FA3">
        <w:rPr>
          <w:rFonts w:cs="Calibri Light"/>
          <w:lang w:val="sq-AL"/>
        </w:rPr>
        <w:t xml:space="preserve">2016, Kosovës i mungon një bazë e të dhënave gjithëpërfshirëse e të gjithë donatorëve të pranishëm në Kosovë </w:t>
      </w:r>
      <w:r w:rsidR="001918BB" w:rsidRPr="00082FA3">
        <w:rPr>
          <w:rFonts w:cs="Calibri Light"/>
          <w:lang w:val="sq-AL"/>
        </w:rPr>
        <w:t xml:space="preserve">që ofrojnë mbështetje </w:t>
      </w:r>
      <w:r w:rsidRPr="00082FA3">
        <w:rPr>
          <w:rFonts w:cs="Calibri Light"/>
          <w:lang w:val="sq-AL"/>
        </w:rPr>
        <w:t xml:space="preserve">përmes projekteve ose financimit. Janë marrë iniciativa nga </w:t>
      </w:r>
      <w:r w:rsidR="001918BB" w:rsidRPr="00082FA3">
        <w:rPr>
          <w:rFonts w:cs="Calibri Light"/>
          <w:lang w:val="sq-AL"/>
        </w:rPr>
        <w:t>komuniteti i</w:t>
      </w:r>
      <w:r w:rsidRPr="00082FA3">
        <w:rPr>
          <w:rFonts w:cs="Calibri Light"/>
          <w:lang w:val="sq-AL"/>
        </w:rPr>
        <w:t xml:space="preserve"> donatorëve dhe nga institucionet kosovare për të krijuar një </w:t>
      </w:r>
      <w:r w:rsidR="00954620" w:rsidRPr="00082FA3">
        <w:rPr>
          <w:rFonts w:cs="Calibri Light"/>
          <w:lang w:val="sq-AL"/>
        </w:rPr>
        <w:t>data bazë</w:t>
      </w:r>
      <w:r w:rsidRPr="00082FA3">
        <w:rPr>
          <w:rFonts w:cs="Calibri Light"/>
          <w:lang w:val="sq-AL"/>
        </w:rPr>
        <w:t xml:space="preserve"> të tillë, por </w:t>
      </w:r>
      <w:r w:rsidR="001918BB" w:rsidRPr="00082FA3">
        <w:rPr>
          <w:rFonts w:cs="Calibri Light"/>
          <w:lang w:val="sq-AL"/>
        </w:rPr>
        <w:t>ka pasur</w:t>
      </w:r>
      <w:r w:rsidRPr="00082FA3">
        <w:rPr>
          <w:rFonts w:cs="Calibri Light"/>
          <w:lang w:val="sq-AL"/>
        </w:rPr>
        <w:t xml:space="preserve"> progres të kufizuar. Në fillim të këtij viti, TACSO ka </w:t>
      </w:r>
      <w:r w:rsidR="001918BB" w:rsidRPr="00082FA3">
        <w:rPr>
          <w:rFonts w:cs="Calibri Light"/>
          <w:lang w:val="sq-AL"/>
        </w:rPr>
        <w:t>marr në konsideratë</w:t>
      </w:r>
      <w:r w:rsidRPr="00082FA3">
        <w:rPr>
          <w:rFonts w:cs="Calibri Light"/>
          <w:lang w:val="sq-AL"/>
        </w:rPr>
        <w:t xml:space="preserve"> vendosjen e një ekspertize teknike për të forcuar procesin e </w:t>
      </w:r>
      <w:r w:rsidR="001918BB" w:rsidRPr="00082FA3">
        <w:rPr>
          <w:rFonts w:cs="Calibri Light"/>
          <w:lang w:val="sq-AL"/>
        </w:rPr>
        <w:t>koordinimit</w:t>
      </w:r>
      <w:r w:rsidRPr="00082FA3">
        <w:rPr>
          <w:rFonts w:cs="Calibri Light"/>
          <w:lang w:val="sq-AL"/>
        </w:rPr>
        <w:t xml:space="preserve"> duke përmirësuar </w:t>
      </w:r>
      <w:r w:rsidR="00954620" w:rsidRPr="00082FA3">
        <w:rPr>
          <w:rFonts w:cs="Calibri Light"/>
          <w:lang w:val="sq-AL"/>
        </w:rPr>
        <w:t>data bazën</w:t>
      </w:r>
      <w:r w:rsidRPr="00082FA3">
        <w:rPr>
          <w:rFonts w:cs="Calibri Light"/>
          <w:lang w:val="sq-AL"/>
        </w:rPr>
        <w:t xml:space="preserve"> aktuale. Megjithatë, deri më tani nuk është raportuar ndonjë përparim në këtë drejtim.</w:t>
      </w:r>
    </w:p>
    <w:p w14:paraId="35658326" w14:textId="4CB311E4" w:rsidR="003450C4" w:rsidRPr="00082FA3" w:rsidRDefault="003450C4" w:rsidP="007562F7">
      <w:pPr>
        <w:pStyle w:val="Heading1"/>
        <w:rPr>
          <w:rFonts w:cs="Calibri Light"/>
          <w:lang w:val="sq-AL"/>
        </w:rPr>
      </w:pPr>
      <w:bookmarkStart w:id="23" w:name="_Toc497820352"/>
      <w:r w:rsidRPr="00082FA3">
        <w:rPr>
          <w:rFonts w:cs="Calibri Light"/>
          <w:lang w:val="sq-AL"/>
        </w:rPr>
        <w:t xml:space="preserve">4. </w:t>
      </w:r>
      <w:r w:rsidR="001918BB" w:rsidRPr="00082FA3">
        <w:rPr>
          <w:rFonts w:cs="Calibri Light"/>
          <w:lang w:val="sq-AL"/>
        </w:rPr>
        <w:t xml:space="preserve">Vlerësimi i </w:t>
      </w:r>
      <w:r w:rsidR="007562F7" w:rsidRPr="00082FA3">
        <w:rPr>
          <w:rFonts w:cs="Calibri Light"/>
          <w:lang w:val="sq-AL"/>
        </w:rPr>
        <w:t>R</w:t>
      </w:r>
      <w:r w:rsidR="00907367" w:rsidRPr="00082FA3">
        <w:rPr>
          <w:rFonts w:cs="Calibri Light"/>
          <w:lang w:val="sq-AL"/>
        </w:rPr>
        <w:t>elevance</w:t>
      </w:r>
      <w:r w:rsidR="001918BB" w:rsidRPr="00082FA3">
        <w:rPr>
          <w:rFonts w:cs="Calibri Light"/>
          <w:lang w:val="sq-AL"/>
        </w:rPr>
        <w:t>s</w:t>
      </w:r>
      <w:bookmarkEnd w:id="23"/>
    </w:p>
    <w:p w14:paraId="12650BF2" w14:textId="13CF8D2F" w:rsidR="00002BBA" w:rsidRPr="00082FA3" w:rsidRDefault="001918BB" w:rsidP="007752F1">
      <w:pPr>
        <w:pBdr>
          <w:bottom w:val="single" w:sz="4" w:space="1" w:color="auto"/>
        </w:pBdr>
        <w:shd w:val="clear" w:color="auto" w:fill="B7FFFF"/>
        <w:rPr>
          <w:rFonts w:cs="Calibri Light"/>
          <w:lang w:val="sq-AL"/>
        </w:rPr>
      </w:pPr>
      <w:r w:rsidRPr="00082FA3">
        <w:rPr>
          <w:rFonts w:cs="Calibri Light"/>
          <w:lang w:val="sq-AL"/>
        </w:rPr>
        <w:t xml:space="preserve">Deri në çfarë mase Strategjia ka qenë relevante në funksion të nevojave </w:t>
      </w:r>
      <w:r w:rsidR="003C12B3" w:rsidRPr="00082FA3">
        <w:rPr>
          <w:rFonts w:cs="Calibri Light"/>
          <w:lang w:val="sq-AL"/>
        </w:rPr>
        <w:t xml:space="preserve">të vendit dhe kërkesave për hyrje </w:t>
      </w:r>
      <w:r w:rsidRPr="00082FA3">
        <w:rPr>
          <w:rFonts w:cs="Calibri Light"/>
          <w:lang w:val="sq-AL"/>
        </w:rPr>
        <w:t>në BE?</w:t>
      </w:r>
      <w:r w:rsidR="00002BBA" w:rsidRPr="00082FA3">
        <w:rPr>
          <w:rFonts w:cs="Calibri Light"/>
          <w:lang w:val="sq-AL"/>
        </w:rPr>
        <w:t xml:space="preserve"> </w:t>
      </w:r>
    </w:p>
    <w:p w14:paraId="4987ECCC" w14:textId="726008EE" w:rsidR="00002BBA" w:rsidRPr="00082FA3" w:rsidRDefault="00002BBA" w:rsidP="00002BBA">
      <w:pPr>
        <w:rPr>
          <w:rFonts w:cs="Calibri Light"/>
          <w:lang w:val="sq-AL"/>
        </w:rPr>
      </w:pPr>
    </w:p>
    <w:p w14:paraId="201EDF34" w14:textId="65ADD2F2" w:rsidR="003C12B3" w:rsidRPr="00082FA3" w:rsidRDefault="003C12B3" w:rsidP="00C86E76">
      <w:pPr>
        <w:rPr>
          <w:rFonts w:cs="Calibri Light"/>
          <w:lang w:val="sq-AL"/>
        </w:rPr>
      </w:pPr>
      <w:r w:rsidRPr="00082FA3">
        <w:rPr>
          <w:rFonts w:cs="Calibri Light"/>
          <w:lang w:val="sq-AL"/>
        </w:rPr>
        <w:t>Strategjia në vetvete është relevante në pikëpamje të nevojave të vendit dhe kërkesave për hyrje në BE pavarësisht faktit se implementimi i saj nuk ka qenë aq i suksesshëm. Në Raportin e Progresit të KE-së (2016), shoqëria civile konsiderohet si një agjent i rëndësishëm për zhvillimin e demokracisë dhe duhet të trajtohet si i tillë nga institucionet publike.</w:t>
      </w:r>
      <w:r w:rsidRPr="00082FA3">
        <w:rPr>
          <w:rStyle w:val="FootnoteReference"/>
          <w:rFonts w:cs="Calibri Light"/>
          <w:lang w:val="sq-AL"/>
        </w:rPr>
        <w:t xml:space="preserve"> </w:t>
      </w:r>
      <w:r w:rsidRPr="00082FA3">
        <w:rPr>
          <w:rStyle w:val="FootnoteReference"/>
          <w:rFonts w:cs="Calibri Light"/>
          <w:lang w:val="sq-AL"/>
        </w:rPr>
        <w:footnoteReference w:id="39"/>
      </w:r>
      <w:r w:rsidRPr="00082FA3">
        <w:rPr>
          <w:rFonts w:cs="Calibri Light"/>
          <w:lang w:val="sq-AL"/>
        </w:rPr>
        <w:t xml:space="preserve"> Është e rëndësishme të theksohet se Strategjia përbëhet nga dy dimensione të rëndësishme për njohjen e rolit të shoqërisë civile në (i) politikëbërja dhe (ii) ofrimi i shërbimeve që korrespondojnë me nevojat më të ngutshme të vendit dhe kërkesat për hyrje në BE.</w:t>
      </w:r>
    </w:p>
    <w:p w14:paraId="7F354E26" w14:textId="58077D62" w:rsidR="00C53187" w:rsidRPr="00082FA3" w:rsidRDefault="00C53187" w:rsidP="00C86E76">
      <w:pPr>
        <w:rPr>
          <w:rFonts w:cs="Calibri Light"/>
          <w:lang w:val="sq-AL"/>
        </w:rPr>
      </w:pPr>
    </w:p>
    <w:p w14:paraId="29EE2E2D" w14:textId="431156B5" w:rsidR="003C12B3" w:rsidRPr="00082FA3" w:rsidRDefault="003C12B3" w:rsidP="00C86E76">
      <w:pPr>
        <w:rPr>
          <w:lang w:val="sq-AL"/>
        </w:rPr>
      </w:pPr>
      <w:r w:rsidRPr="00082FA3">
        <w:rPr>
          <w:lang w:val="sq-AL"/>
        </w:rPr>
        <w:t>Strategjia përcakton strukturën e politikave dhe bashkëpunimin lidhur me zhvillimin e politikave dhe ofrimin e shërbimeve publike. Në këto fusha prioritare, katër (4) objektivat strategjike përshtaten së bashku dhe duket se e forcojnë njëra-</w:t>
      </w:r>
      <w:r w:rsidR="00954620" w:rsidRPr="00082FA3">
        <w:rPr>
          <w:lang w:val="sq-AL"/>
        </w:rPr>
        <w:t>tjetrën</w:t>
      </w:r>
      <w:r w:rsidRPr="00082FA3">
        <w:rPr>
          <w:lang w:val="sq-AL"/>
        </w:rPr>
        <w:t>. Rrjedhimisht, shoqëria civile shihet si një aktor i rëndësishëm për hartimin e politikave të vendit dhe si agjent për ndryshime sociale dhe ekonomike. Në këtë drejtim, Strategjia ka bërë relativisht përparim në përcaktimin e fushave të kuadrit ligjor dhe institucional në favor të zhvillimit të politikave. Sidoqoftë, shumë nga objektivat dhe veprimet prioritare nuk janë realizuar në një nivel të kënaqshëm, veçanërisht ato që kanë të bëjnë me vendosjen e sistemit të kontraktimit të shërbimeve publike nga OSHC-të (Objektivi # 2) dhe promovimi i një qasjeje të integruar për zhvillimin e vullnetarizmit në vend (Objektivi # 4).</w:t>
      </w:r>
    </w:p>
    <w:p w14:paraId="63CCCD11" w14:textId="63BA8A15" w:rsidR="002267FB" w:rsidRPr="00082FA3" w:rsidRDefault="002267FB" w:rsidP="002267FB">
      <w:pPr>
        <w:pStyle w:val="Heading2"/>
        <w:rPr>
          <w:rFonts w:cs="Calibri Light"/>
          <w:lang w:val="sq-AL"/>
        </w:rPr>
      </w:pPr>
      <w:bookmarkStart w:id="24" w:name="_Toc497820353"/>
      <w:r w:rsidRPr="00082FA3">
        <w:rPr>
          <w:rFonts w:cs="Calibri Light"/>
          <w:lang w:val="sq-AL"/>
        </w:rPr>
        <w:t>4.1. Relevanc</w:t>
      </w:r>
      <w:r w:rsidR="00E32914" w:rsidRPr="00082FA3">
        <w:rPr>
          <w:rFonts w:cs="Calibri Light"/>
          <w:lang w:val="sq-AL"/>
        </w:rPr>
        <w:t xml:space="preserve">a e Strategjisë në </w:t>
      </w:r>
      <w:r w:rsidR="00B61EEE" w:rsidRPr="00082FA3">
        <w:rPr>
          <w:rFonts w:cs="Calibri Light"/>
          <w:lang w:val="sq-AL"/>
        </w:rPr>
        <w:t>pikëpamje të</w:t>
      </w:r>
      <w:r w:rsidR="00E32914" w:rsidRPr="00082FA3">
        <w:rPr>
          <w:rFonts w:cs="Calibri Light"/>
          <w:lang w:val="sq-AL"/>
        </w:rPr>
        <w:t xml:space="preserve"> Nevojave Aktuale</w:t>
      </w:r>
      <w:bookmarkEnd w:id="24"/>
      <w:r w:rsidRPr="00082FA3">
        <w:rPr>
          <w:rFonts w:cs="Calibri Light"/>
          <w:lang w:val="sq-AL"/>
        </w:rPr>
        <w:t xml:space="preserve"> </w:t>
      </w:r>
    </w:p>
    <w:p w14:paraId="15F8D311" w14:textId="02560851" w:rsidR="00B61EEE" w:rsidRPr="00082FA3" w:rsidRDefault="00B61EEE" w:rsidP="001F3B38">
      <w:pPr>
        <w:rPr>
          <w:lang w:val="sq-AL"/>
        </w:rPr>
      </w:pPr>
      <w:r w:rsidRPr="00082FA3">
        <w:rPr>
          <w:lang w:val="sq-AL"/>
        </w:rPr>
        <w:t xml:space="preserve">Vendi ka nevojë për politika dhe një administratë publike që përfaqëson më së miri interesat e qytetarëve të saj. Roli i qeverisë është t'i përmbushë këto nevoja duke arritur tek palët e tjera të interesit, siç është shoqëria civile. Nga perspektiva e Komisionit Evropian (BE) në Raportin e Progresit, këto nevoja mund të filtrohen përmes </w:t>
      </w:r>
      <w:r w:rsidRPr="00082FA3">
        <w:rPr>
          <w:b/>
          <w:lang w:val="sq-AL"/>
        </w:rPr>
        <w:t>kritereve politike</w:t>
      </w:r>
      <w:r w:rsidRPr="00082FA3">
        <w:rPr>
          <w:lang w:val="sq-AL"/>
        </w:rPr>
        <w:t xml:space="preserve"> dhe </w:t>
      </w:r>
      <w:r w:rsidRPr="00082FA3">
        <w:rPr>
          <w:b/>
          <w:lang w:val="sq-AL"/>
        </w:rPr>
        <w:t>ekonomike</w:t>
      </w:r>
      <w:r w:rsidRPr="00082FA3">
        <w:rPr>
          <w:lang w:val="sq-AL"/>
        </w:rPr>
        <w:t xml:space="preserve"> të cilat në masë të madhe varen nga performanca dhe sjellja e qeverisë. Kriteret politike kërkojnë stabilitet institucional në sigurimin e demokracisë, sundimin e ligjit, të drejtat e njeriut dhe respektimin dhe mbrojtjen e pakicave. Kriteret ekonomike kërkojnë ekzistencën e një ekonomie tregu funksionale dhe aftësinë për të përballuar konkurrencën dhe forcat e tregut.</w:t>
      </w:r>
    </w:p>
    <w:p w14:paraId="58F5B718" w14:textId="77777777" w:rsidR="00D563DA" w:rsidRPr="00082FA3" w:rsidRDefault="00D563DA" w:rsidP="001F3B38">
      <w:pPr>
        <w:rPr>
          <w:lang w:val="sq-AL"/>
        </w:rPr>
      </w:pPr>
    </w:p>
    <w:p w14:paraId="3FE1284F" w14:textId="5FF94EAE" w:rsidR="007A2B75" w:rsidRPr="00082FA3" w:rsidRDefault="007A2B75" w:rsidP="001F3B38">
      <w:pPr>
        <w:rPr>
          <w:lang w:val="sq-AL"/>
        </w:rPr>
      </w:pPr>
      <w:r w:rsidRPr="00082FA3">
        <w:rPr>
          <w:lang w:val="sq-AL"/>
        </w:rPr>
        <w:t xml:space="preserve">Vendi ka arritur progresin minimal në përmbushjen e </w:t>
      </w:r>
      <w:r w:rsidRPr="00082FA3">
        <w:rPr>
          <w:b/>
          <w:lang w:val="sq-AL"/>
        </w:rPr>
        <w:t>kritereve politike</w:t>
      </w:r>
      <w:r w:rsidRPr="00082FA3">
        <w:rPr>
          <w:lang w:val="sq-AL"/>
        </w:rPr>
        <w:t>.</w:t>
      </w:r>
      <w:r w:rsidR="00D40E97" w:rsidRPr="00082FA3">
        <w:rPr>
          <w:rStyle w:val="FootnoteReference"/>
          <w:lang w:val="sq-AL"/>
        </w:rPr>
        <w:t xml:space="preserve"> </w:t>
      </w:r>
      <w:r w:rsidR="00D40E97" w:rsidRPr="00082FA3">
        <w:rPr>
          <w:rStyle w:val="FootnoteReference"/>
          <w:lang w:val="sq-AL"/>
        </w:rPr>
        <w:footnoteReference w:id="40"/>
      </w:r>
      <w:r w:rsidRPr="00082FA3">
        <w:rPr>
          <w:lang w:val="sq-AL"/>
        </w:rPr>
        <w:t xml:space="preserve"> Në katër (4) vitet e fundit, dega ekzekutive dhe legjislative nuk mund të gjenin bazë të përbashkët në përfaqësimin e interesave publike. </w:t>
      </w:r>
      <w:r w:rsidRPr="00082FA3">
        <w:rPr>
          <w:lang w:val="sq-AL"/>
        </w:rPr>
        <w:lastRenderedPageBreak/>
        <w:t>Partitë politike nuk arritën të përfshiheshin në një dialog politik për formimin e qeverisë në dy zgjedhjet e fundit kombëtare (qershor 2014 dhe qershor 2017)</w:t>
      </w:r>
    </w:p>
    <w:p w14:paraId="5C67EA83" w14:textId="6C7929C6" w:rsidR="00D40E97" w:rsidRPr="00082FA3" w:rsidRDefault="00D40E97" w:rsidP="001F3B38">
      <w:pPr>
        <w:rPr>
          <w:lang w:val="sq-AL"/>
        </w:rPr>
      </w:pPr>
      <w:r w:rsidRPr="00082FA3">
        <w:rPr>
          <w:lang w:val="sq-AL"/>
        </w:rPr>
        <w:t>Rrjedhimisht, të dyja degët nuk kanë performuar mirë dhe kanë dështuar të jenë përgjegjëse në shumë çështje (p.sh. ushtrimi i ndikimit dhe vonesa në procesin e emërimit të anëtarëve të Bordit të agjencive të pavarura). Përveç kësaj, dega gjyqësore është konsideruar e paefektshme dhe e papërgjegjshme, në varësi të ndikimit të panevojshëm politik dhe kapaciteteve të kufizuara.</w:t>
      </w:r>
    </w:p>
    <w:p w14:paraId="23E3925E" w14:textId="77777777" w:rsidR="00D40E97" w:rsidRPr="00082FA3" w:rsidRDefault="00D40E97" w:rsidP="001F3B38">
      <w:pPr>
        <w:rPr>
          <w:lang w:val="sq-AL"/>
        </w:rPr>
      </w:pPr>
    </w:p>
    <w:p w14:paraId="3BC98F25" w14:textId="1A22F394" w:rsidR="00D40E97" w:rsidRPr="00082FA3" w:rsidRDefault="00D40E97" w:rsidP="001F3B38">
      <w:pPr>
        <w:rPr>
          <w:lang w:val="sq-AL"/>
        </w:rPr>
      </w:pPr>
      <w:r w:rsidRPr="00082FA3">
        <w:rPr>
          <w:lang w:val="sq-AL"/>
        </w:rPr>
        <w:t xml:space="preserve">Përkundër mungesës së vullnetit politik për të ndryshuar </w:t>
      </w:r>
      <w:r w:rsidRPr="00082FA3">
        <w:rPr>
          <w:i/>
          <w:lang w:val="sq-AL"/>
        </w:rPr>
        <w:t>status quo-në</w:t>
      </w:r>
      <w:r w:rsidRPr="00082FA3">
        <w:rPr>
          <w:lang w:val="sq-AL"/>
        </w:rPr>
        <w:t xml:space="preserve">, Strategjia ka trajtuar disa probleme në vitin 2017 me rëndësi të veçantë për nevojat e vendit të cilat nuk janë vërejtur në Raportin e fundit të Progresit të KE-së. Siç tregohet në seksionet paraprake, shoqëria civile është në një pozitë relativisht më të mirë për hartimin dhe zbatimin e politikave dhe legjislacionit </w:t>
      </w:r>
      <w:r w:rsidRPr="00082FA3">
        <w:rPr>
          <w:b/>
          <w:lang w:val="sq-AL"/>
        </w:rPr>
        <w:t>(Objektivi # 1)</w:t>
      </w:r>
      <w:r w:rsidRPr="00082FA3">
        <w:rPr>
          <w:lang w:val="sq-AL"/>
        </w:rPr>
        <w:t xml:space="preserve"> pasi që Rregullorja për Standardet Minimale për Konsultimin Publik është miratuar dhe vënë në përdorim dhe është lansuar Platforma Online. Përveç kësaj, kapacitetet e nëpunësve civilë dhe përfaqësuesve të shoqërisë civile në politikat publike janë përmirësuar pak dhe më në fund është miratuar Metodologjia e Monitorimit dhe Raportimit për Konsultimin Publik! Këto janë disa nga nismat kryesore të politikave të cilat pritet të hyjnë në fuqi në një shkallë më të madhe në vitet që vijnë. Në praktikë, ata do të ndihmojnë qeverinë të bëhet më efektive, transparente dhe llogaridhënëse.</w:t>
      </w:r>
    </w:p>
    <w:p w14:paraId="585B0DA1" w14:textId="77777777" w:rsidR="00D40E97" w:rsidRPr="00082FA3" w:rsidRDefault="00D40E97" w:rsidP="001F3B38">
      <w:pPr>
        <w:rPr>
          <w:lang w:val="sq-AL"/>
        </w:rPr>
      </w:pPr>
    </w:p>
    <w:p w14:paraId="3662E8A7" w14:textId="1B96B48C" w:rsidR="006018BC" w:rsidRPr="00082FA3" w:rsidRDefault="006018BC" w:rsidP="001F3B38">
      <w:pPr>
        <w:rPr>
          <w:lang w:val="sq-AL"/>
        </w:rPr>
      </w:pPr>
      <w:r w:rsidRPr="00082FA3">
        <w:rPr>
          <w:lang w:val="sq-AL"/>
        </w:rPr>
        <w:t xml:space="preserve">Vendi ka arritur përparim minimal në përmbushjen e </w:t>
      </w:r>
      <w:r w:rsidRPr="00082FA3">
        <w:rPr>
          <w:b/>
          <w:lang w:val="sq-AL"/>
        </w:rPr>
        <w:t>kritereve ekonomike</w:t>
      </w:r>
      <w:r w:rsidRPr="00082FA3">
        <w:rPr>
          <w:lang w:val="sq-AL"/>
        </w:rPr>
        <w:t>.</w:t>
      </w:r>
      <w:r w:rsidRPr="00082FA3">
        <w:rPr>
          <w:rStyle w:val="FootnoteReference"/>
          <w:lang w:val="sq-AL"/>
        </w:rPr>
        <w:t xml:space="preserve"> </w:t>
      </w:r>
      <w:r w:rsidRPr="00082FA3">
        <w:rPr>
          <w:rStyle w:val="FootnoteReference"/>
          <w:lang w:val="sq-AL"/>
        </w:rPr>
        <w:footnoteReference w:id="41"/>
      </w:r>
      <w:r w:rsidRPr="00082FA3">
        <w:rPr>
          <w:lang w:val="sq-AL"/>
        </w:rPr>
        <w:t xml:space="preserve">  Strategjia njeh rëndësinë e sektorit jofitimprurës në përmirësimin e mirëqenies sociale dhe ekonomike të vendit. Ajo definon OSHC-të si një "burim njohurish sipërmarrëse në fushat ku ekonomia e tregut nuk arrin të ofrojë shërbime efikase".</w:t>
      </w:r>
      <w:r w:rsidRPr="00082FA3">
        <w:rPr>
          <w:rStyle w:val="FootnoteReference"/>
          <w:lang w:val="sq-AL"/>
        </w:rPr>
        <w:footnoteReference w:id="42"/>
      </w:r>
      <w:r w:rsidRPr="00082FA3">
        <w:rPr>
          <w:lang w:val="sq-AL"/>
        </w:rPr>
        <w:t xml:space="preserve"> Duke angazhuar OSHC-të në ofrimin e shërbimeve, tregjet mund të përmirësohen dhe qeveria të lirohet nga një gamë e gjerë shërbimesh me qëllim të shërbyer interes publik me një kosto më të arsyeshme! Për fat të keq, kjo është ajo ku qeveria dhe shoqëria civile kanë dështuar më së shumti. Qeveria nuk ka qenë në gjendje të krijojë sistem të kontraktimit të shërbimeve publike për OSHC </w:t>
      </w:r>
      <w:r w:rsidRPr="00082FA3">
        <w:rPr>
          <w:b/>
          <w:lang w:val="sq-AL"/>
        </w:rPr>
        <w:t>(Objektivi # 2).</w:t>
      </w:r>
      <w:r w:rsidRPr="00082FA3">
        <w:rPr>
          <w:lang w:val="sq-AL"/>
        </w:rPr>
        <w:t xml:space="preserve"> Përderisa ka pasur disa studime në këtë drejtim, nuk ka rregulla, standarde apo katalogë për dispozitat e shërbimit. Shoqëria civile, në të njëjtën kohë, është subjekt i kapaciteteve të kufizuara financiare dhe njerëzore, gjë që e bën të vështirë për OShC-të të marrin përgjegjësinë dhe pronësinë në ofrimin e shërbimeve publike.</w:t>
      </w:r>
    </w:p>
    <w:p w14:paraId="6B2980A6" w14:textId="0B3846BB" w:rsidR="001F3B38" w:rsidRPr="00082FA3" w:rsidRDefault="001F3B38" w:rsidP="001F3B38">
      <w:pPr>
        <w:pStyle w:val="Heading2"/>
        <w:rPr>
          <w:rFonts w:cs="Calibri Light"/>
          <w:lang w:val="sq-AL"/>
        </w:rPr>
      </w:pPr>
      <w:bookmarkStart w:id="25" w:name="_Toc497820354"/>
      <w:r w:rsidRPr="00082FA3">
        <w:rPr>
          <w:rFonts w:cs="Calibri Light"/>
          <w:lang w:val="sq-AL"/>
        </w:rPr>
        <w:t xml:space="preserve">4.2. </w:t>
      </w:r>
      <w:r w:rsidR="006018BC" w:rsidRPr="00082FA3">
        <w:rPr>
          <w:rFonts w:cs="Calibri Light"/>
          <w:lang w:val="sq-AL"/>
        </w:rPr>
        <w:t>Relevanca e Strategjisë në pikëpamje me kërkesat për hyrje në BE</w:t>
      </w:r>
      <w:bookmarkEnd w:id="25"/>
    </w:p>
    <w:p w14:paraId="7647876C" w14:textId="723890DB" w:rsidR="006018BC" w:rsidRPr="00082FA3" w:rsidRDefault="006018BC" w:rsidP="007752F1">
      <w:pPr>
        <w:shd w:val="clear" w:color="auto" w:fill="B7FFFF"/>
        <w:rPr>
          <w:rFonts w:cs="Calibri Light"/>
          <w:i/>
          <w:lang w:val="sq-AL"/>
        </w:rPr>
      </w:pPr>
      <w:r w:rsidRPr="00082FA3">
        <w:rPr>
          <w:rFonts w:cs="Calibri Light"/>
          <w:i/>
          <w:lang w:val="sq-AL"/>
        </w:rPr>
        <w:t>Reflektim mbi Udhëzimet IPA të BE-së për mbështetjen e shoqërisë civile 2014-2020 dhe indikatorët e saj - si i përgjigjet kjo Strategji Udhëzimeve të BE-së.</w:t>
      </w:r>
    </w:p>
    <w:p w14:paraId="21E16BBE" w14:textId="061B10BF" w:rsidR="002267FB" w:rsidRPr="00082FA3" w:rsidRDefault="002267FB" w:rsidP="00C86E76">
      <w:pPr>
        <w:rPr>
          <w:rFonts w:cs="Calibri Light"/>
          <w:lang w:val="sq-AL"/>
        </w:rPr>
      </w:pPr>
    </w:p>
    <w:p w14:paraId="3EE09C04" w14:textId="488DD61A" w:rsidR="006018BC" w:rsidRPr="00082FA3" w:rsidRDefault="006018BC" w:rsidP="001F3B38">
      <w:pPr>
        <w:rPr>
          <w:lang w:val="sq-AL"/>
        </w:rPr>
      </w:pPr>
      <w:r w:rsidRPr="00082FA3">
        <w:rPr>
          <w:lang w:val="sq-AL"/>
        </w:rPr>
        <w:t xml:space="preserve">Kriteret e tjera për pranimin në BE përbëhen nga kapaciteti administrativ dhe institucional për të zbatuar </w:t>
      </w:r>
      <w:r w:rsidR="008C4D90" w:rsidRPr="00082FA3">
        <w:rPr>
          <w:lang w:val="sq-AL"/>
        </w:rPr>
        <w:t>legjislacionin evropian (</w:t>
      </w:r>
      <w:r w:rsidRPr="00082FA3">
        <w:rPr>
          <w:lang w:val="sq-AL"/>
        </w:rPr>
        <w:t>acquis</w:t>
      </w:r>
      <w:r w:rsidR="008C4D90" w:rsidRPr="00082FA3">
        <w:rPr>
          <w:lang w:val="sq-AL"/>
        </w:rPr>
        <w:t>)</w:t>
      </w:r>
      <w:r w:rsidRPr="00082FA3">
        <w:rPr>
          <w:lang w:val="sq-AL"/>
        </w:rPr>
        <w:t xml:space="preserve"> dhe aftësinë për të marrë përsipër detyrimet e anëtarësimit. Sipas Raportit të Progresit të KE-së (2016), ka pasur disa përparime në drejtim të harmonizimit legjislativ me standardet evropiane, megjithatë, zbatimi ka qenë i dobët.</w:t>
      </w:r>
      <w:r w:rsidR="008C4D90" w:rsidRPr="00082FA3">
        <w:rPr>
          <w:rStyle w:val="FootnoteReference"/>
          <w:lang w:val="sq-AL"/>
        </w:rPr>
        <w:footnoteReference w:id="43"/>
      </w:r>
      <w:r w:rsidRPr="00082FA3">
        <w:rPr>
          <w:lang w:val="sq-AL"/>
        </w:rPr>
        <w:t xml:space="preserve"> Këto standarde ndahen në tri kategori: (i) tregje të brendshme, (ii) politika</w:t>
      </w:r>
      <w:r w:rsidR="008C4D90" w:rsidRPr="00082FA3">
        <w:rPr>
          <w:lang w:val="sq-AL"/>
        </w:rPr>
        <w:t>t</w:t>
      </w:r>
      <w:r w:rsidRPr="00082FA3">
        <w:rPr>
          <w:lang w:val="sq-AL"/>
        </w:rPr>
        <w:t xml:space="preserve"> sektoriale, dhe (iii) drejtësi</w:t>
      </w:r>
      <w:r w:rsidR="008C4D90" w:rsidRPr="00082FA3">
        <w:rPr>
          <w:lang w:val="sq-AL"/>
        </w:rPr>
        <w:t>a</w:t>
      </w:r>
      <w:r w:rsidRPr="00082FA3">
        <w:rPr>
          <w:lang w:val="sq-AL"/>
        </w:rPr>
        <w:t>, liri</w:t>
      </w:r>
      <w:r w:rsidR="008C4D90" w:rsidRPr="00082FA3">
        <w:rPr>
          <w:lang w:val="sq-AL"/>
        </w:rPr>
        <w:t>a</w:t>
      </w:r>
      <w:r w:rsidRPr="00082FA3">
        <w:rPr>
          <w:lang w:val="sq-AL"/>
        </w:rPr>
        <w:t xml:space="preserve"> dhe siguri</w:t>
      </w:r>
      <w:r w:rsidR="008C4D90" w:rsidRPr="00082FA3">
        <w:rPr>
          <w:lang w:val="sq-AL"/>
        </w:rPr>
        <w:t>a</w:t>
      </w:r>
      <w:r w:rsidRPr="00082FA3">
        <w:rPr>
          <w:lang w:val="sq-AL"/>
        </w:rPr>
        <w:t>. Ato mbulojnë një gamë të gjerë çështjesh nga liria e lëvizjes së mallrave dhe kapitalit, konkurrenca dhe prokurimi publik, arsimi dhe punësimi në politikat sektoriale për bujqësinë, mjedisi</w:t>
      </w:r>
      <w:r w:rsidR="008C4D90" w:rsidRPr="00082FA3">
        <w:rPr>
          <w:lang w:val="sq-AL"/>
        </w:rPr>
        <w:t xml:space="preserve"> dhe energjia dhe transporti</w:t>
      </w:r>
      <w:r w:rsidRPr="00082FA3">
        <w:rPr>
          <w:lang w:val="sq-AL"/>
        </w:rPr>
        <w:t>. Standardet për drejtësinë, lirinë dhe sigurinë mbulojnë çështje të tilla si migracioni, krimi i organizuar dhe korrupsioni.</w:t>
      </w:r>
    </w:p>
    <w:p w14:paraId="4527F3CC" w14:textId="4DBCC09B" w:rsidR="00D563DA" w:rsidRPr="00082FA3" w:rsidRDefault="00D563DA" w:rsidP="001F3B38">
      <w:pPr>
        <w:rPr>
          <w:lang w:val="sq-AL"/>
        </w:rPr>
      </w:pPr>
    </w:p>
    <w:p w14:paraId="18FACF8D" w14:textId="3A5258F0" w:rsidR="00D97936" w:rsidRPr="00082FA3" w:rsidRDefault="008C4D90" w:rsidP="001F3B38">
      <w:pPr>
        <w:rPr>
          <w:lang w:val="sq-AL"/>
        </w:rPr>
      </w:pPr>
      <w:r w:rsidRPr="00082FA3">
        <w:rPr>
          <w:lang w:val="sq-AL"/>
        </w:rPr>
        <w:t xml:space="preserve">Përfshirja dhe kontributi i shoqërisë civile në hartimin e politikave dhe legjislacionit në përputhje me </w:t>
      </w:r>
      <w:r w:rsidRPr="00082FA3">
        <w:rPr>
          <w:i/>
          <w:lang w:val="sq-AL"/>
        </w:rPr>
        <w:t>acquis communautaire</w:t>
      </w:r>
      <w:r w:rsidRPr="00082FA3">
        <w:rPr>
          <w:lang w:val="sq-AL"/>
        </w:rPr>
        <w:t xml:space="preserve"> është adresuar në Strategji. Sa i përket qeverisjes së mirë dhe ofrimit të shërbimeve, të gjitha objektivat e Strategjisë kërkojnë pavarësi institucionale, transparencë, llogaridhënie, integritet dhe efektivitet nga institucionet publike me fokus kryesor në kornizën dhe shërbimet e orientuara nga qytetarët siç kërkohet nga </w:t>
      </w:r>
      <w:r w:rsidRPr="00082FA3">
        <w:rPr>
          <w:b/>
          <w:lang w:val="sq-AL"/>
        </w:rPr>
        <w:t>Udhëzuesit e BE-së</w:t>
      </w:r>
      <w:r w:rsidRPr="00082FA3">
        <w:rPr>
          <w:lang w:val="sq-AL"/>
        </w:rPr>
        <w:t xml:space="preserve"> për mbështetja e shoqërisë civile në vendet </w:t>
      </w:r>
      <w:r w:rsidRPr="00082FA3">
        <w:rPr>
          <w:lang w:val="sq-AL"/>
        </w:rPr>
        <w:lastRenderedPageBreak/>
        <w:t>në zgjerim (2014-2020).</w:t>
      </w:r>
      <w:r w:rsidRPr="00082FA3">
        <w:rPr>
          <w:rStyle w:val="FootnoteReference"/>
          <w:lang w:val="sq-AL"/>
        </w:rPr>
        <w:footnoteReference w:id="44"/>
      </w:r>
      <w:r w:rsidRPr="00082FA3">
        <w:rPr>
          <w:lang w:val="sq-AL"/>
        </w:rPr>
        <w:t xml:space="preserve">  Siç thuhet në Raportin e fundit të Progresit të KE-së (2016), është bërë përparim në fushën e prokurimit publik dhe konkurrencës dhe në luftën kundër korrupsionit.</w:t>
      </w:r>
      <w:r w:rsidRPr="00082FA3">
        <w:rPr>
          <w:rStyle w:val="FootnoteReference"/>
          <w:lang w:val="sq-AL"/>
        </w:rPr>
        <w:t xml:space="preserve"> </w:t>
      </w:r>
      <w:r w:rsidRPr="00082FA3">
        <w:rPr>
          <w:rStyle w:val="FootnoteReference"/>
          <w:lang w:val="sq-AL"/>
        </w:rPr>
        <w:footnoteReference w:id="45"/>
      </w:r>
      <w:r w:rsidR="009E604C" w:rsidRPr="00082FA3">
        <w:rPr>
          <w:lang w:val="sq-AL"/>
        </w:rPr>
        <w:t xml:space="preserve"> </w:t>
      </w:r>
      <w:r w:rsidR="00D97936" w:rsidRPr="00082FA3">
        <w:rPr>
          <w:lang w:val="sq-AL"/>
        </w:rPr>
        <w:t xml:space="preserve">Përparim i ngjashëm i është </w:t>
      </w:r>
      <w:r w:rsidR="00954620" w:rsidRPr="00082FA3">
        <w:rPr>
          <w:lang w:val="sq-AL"/>
        </w:rPr>
        <w:t>atribuuar</w:t>
      </w:r>
      <w:r w:rsidR="00D97936" w:rsidRPr="00082FA3">
        <w:rPr>
          <w:lang w:val="sq-AL"/>
        </w:rPr>
        <w:t xml:space="preserve"> OSHC-ve për dhënien e kontributit të konsiderueshëm jo vetëm përmes përpjekjeve të tyre profesionale në hartimin e politikave dhe legjislacionit, por edhe përmes lobimit, avokimit dhe aktiviteteve të tyre në nivel lokal dhe kombëtar.</w:t>
      </w:r>
    </w:p>
    <w:p w14:paraId="4F3FF26F" w14:textId="63446E07" w:rsidR="00E5790F" w:rsidRPr="00082FA3" w:rsidRDefault="00E5790F" w:rsidP="001F3B38">
      <w:pPr>
        <w:rPr>
          <w:lang w:val="sq-AL"/>
        </w:rPr>
      </w:pPr>
    </w:p>
    <w:p w14:paraId="73377484" w14:textId="2CF3CED7" w:rsidR="008216D8" w:rsidRPr="00082FA3" w:rsidRDefault="008216D8" w:rsidP="001F3B38">
      <w:pPr>
        <w:rPr>
          <w:lang w:val="sq-AL"/>
        </w:rPr>
      </w:pPr>
      <w:r w:rsidRPr="00082FA3">
        <w:rPr>
          <w:lang w:val="sq-AL"/>
        </w:rPr>
        <w:t xml:space="preserve">Në fund, Strategjia i përgjigjet Udhëzimeve të BE-së të cilat fokusohen </w:t>
      </w:r>
      <w:r w:rsidR="009E604C" w:rsidRPr="00082FA3">
        <w:rPr>
          <w:lang w:val="sq-AL"/>
        </w:rPr>
        <w:t>në</w:t>
      </w:r>
      <w:r w:rsidRPr="00082FA3">
        <w:rPr>
          <w:lang w:val="sq-AL"/>
        </w:rPr>
        <w:t xml:space="preserve"> krijimin e mjedisit që është i favorshëm për shoqërinë civile për të qenë aktorë efektivë dhe të përgjegjshëm.</w:t>
      </w:r>
      <w:r w:rsidRPr="00082FA3">
        <w:rPr>
          <w:rStyle w:val="FootnoteReference"/>
          <w:lang w:val="sq-AL"/>
        </w:rPr>
        <w:t xml:space="preserve"> </w:t>
      </w:r>
      <w:r w:rsidRPr="00082FA3">
        <w:rPr>
          <w:rStyle w:val="FootnoteReference"/>
          <w:lang w:val="sq-AL"/>
        </w:rPr>
        <w:footnoteReference w:id="46"/>
      </w:r>
      <w:r w:rsidRPr="00082FA3">
        <w:rPr>
          <w:lang w:val="sq-AL"/>
        </w:rPr>
        <w:t xml:space="preserve"> Siç është treguar në seksioni paraprak, pjesëmarrja e shoqërisë civile në zhvillimin e politikave të qëndrueshme dhe legjislacionit gjithëpërfshirës është siguruar nëpërmjet objektivit të parë të Strategjisë </w:t>
      </w:r>
      <w:r w:rsidRPr="00082FA3">
        <w:rPr>
          <w:b/>
          <w:lang w:val="sq-AL"/>
        </w:rPr>
        <w:t xml:space="preserve">(Objektivi # 1). </w:t>
      </w:r>
      <w:r w:rsidRPr="00082FA3">
        <w:rPr>
          <w:lang w:val="sq-AL"/>
        </w:rPr>
        <w:t xml:space="preserve">Sidoqoftë, Strategjia nuk arrin të krijon një mjedis financiar në drejtim të sigurimit të rregullave të favorshme tatimore për donacionet private dhe filantropinë. Këto çështje mbulohen në Strategji </w:t>
      </w:r>
      <w:r w:rsidRPr="00082FA3">
        <w:rPr>
          <w:b/>
          <w:lang w:val="sq-AL"/>
        </w:rPr>
        <w:t>(Objektivi # 3)</w:t>
      </w:r>
      <w:r w:rsidRPr="00082FA3">
        <w:rPr>
          <w:lang w:val="sq-AL"/>
        </w:rPr>
        <w:t xml:space="preserve"> por nuk trajtohen </w:t>
      </w:r>
      <w:r w:rsidRPr="00082FA3">
        <w:rPr>
          <w:i/>
          <w:lang w:val="sq-AL"/>
        </w:rPr>
        <w:t>në praktikë</w:t>
      </w:r>
      <w:r w:rsidRPr="00082FA3">
        <w:rPr>
          <w:lang w:val="sq-AL"/>
        </w:rPr>
        <w:t xml:space="preserve"> siç përshkruhet në seksionin paraprak </w:t>
      </w:r>
      <w:r w:rsidRPr="00082FA3">
        <w:rPr>
          <w:i/>
          <w:lang w:val="sq-AL"/>
        </w:rPr>
        <w:t>mbi vlerësimin e efektivitetit.</w:t>
      </w:r>
      <w:r w:rsidRPr="00082FA3">
        <w:rPr>
          <w:lang w:val="sq-AL"/>
        </w:rPr>
        <w:t xml:space="preserve"> Për shembull, asgjë nuk është definuar kur bëhet fjalë për filantropinë dhe sponsorizimin. Në Raportin e Progresit të KE-së (2016), është raportuar se kuadri ligjor për </w:t>
      </w:r>
      <w:r w:rsidR="008C177E" w:rsidRPr="00082FA3">
        <w:rPr>
          <w:lang w:val="sq-AL"/>
        </w:rPr>
        <w:t>uljen</w:t>
      </w:r>
      <w:r w:rsidRPr="00082FA3">
        <w:rPr>
          <w:lang w:val="sq-AL"/>
        </w:rPr>
        <w:t xml:space="preserve"> e taksave për donacionet end</w:t>
      </w:r>
      <w:r w:rsidR="008C177E" w:rsidRPr="00082FA3">
        <w:rPr>
          <w:lang w:val="sq-AL"/>
        </w:rPr>
        <w:t>e mbetet një çështje e paqartë.</w:t>
      </w:r>
      <w:r w:rsidR="008C177E" w:rsidRPr="00082FA3">
        <w:rPr>
          <w:rStyle w:val="FootnoteReference"/>
          <w:lang w:val="sq-AL"/>
        </w:rPr>
        <w:footnoteReference w:id="47"/>
      </w:r>
      <w:r w:rsidR="008C177E" w:rsidRPr="00082FA3">
        <w:rPr>
          <w:lang w:val="sq-AL"/>
        </w:rPr>
        <w:t xml:space="preserve"> Statusi i Përfituesit Publik (SPP</w:t>
      </w:r>
      <w:r w:rsidRPr="00082FA3">
        <w:rPr>
          <w:lang w:val="sq-AL"/>
        </w:rPr>
        <w:t xml:space="preserve">) tashmë është rishikuar për ndryshimin e </w:t>
      </w:r>
      <w:r w:rsidRPr="00082FA3">
        <w:rPr>
          <w:i/>
          <w:lang w:val="sq-AL"/>
        </w:rPr>
        <w:t>Ligjit për Lirinë e Asocimit të OJQ-ve</w:t>
      </w:r>
      <w:r w:rsidRPr="00082FA3">
        <w:rPr>
          <w:lang w:val="sq-AL"/>
        </w:rPr>
        <w:t xml:space="preserve"> dhe do të mbulojë më shumë sektorë të shoqërisë civile për OJQ-të që të kenë të drejtë të fitojnë përfitimet fiskale</w:t>
      </w:r>
      <w:r w:rsidR="008C177E" w:rsidRPr="00082FA3">
        <w:rPr>
          <w:lang w:val="sq-AL"/>
        </w:rPr>
        <w:t xml:space="preserve"> / tatimore të garantuara nga SPP</w:t>
      </w:r>
      <w:r w:rsidRPr="00082FA3">
        <w:rPr>
          <w:lang w:val="sq-AL"/>
        </w:rPr>
        <w:t xml:space="preserve"> me kusht që ata </w:t>
      </w:r>
      <w:r w:rsidR="008C177E" w:rsidRPr="00082FA3">
        <w:rPr>
          <w:lang w:val="sq-AL"/>
        </w:rPr>
        <w:t xml:space="preserve">të </w:t>
      </w:r>
      <w:r w:rsidRPr="00082FA3">
        <w:rPr>
          <w:lang w:val="sq-AL"/>
        </w:rPr>
        <w:t>respektojnë Ligjin.</w:t>
      </w:r>
    </w:p>
    <w:p w14:paraId="6D842220" w14:textId="77777777" w:rsidR="008216D8" w:rsidRPr="00082FA3" w:rsidRDefault="008216D8" w:rsidP="001F3B38">
      <w:pPr>
        <w:rPr>
          <w:lang w:val="sq-AL"/>
        </w:rPr>
      </w:pPr>
    </w:p>
    <w:p w14:paraId="243047B6" w14:textId="77777777" w:rsidR="008F2A15" w:rsidRDefault="00D3149B" w:rsidP="001F3B38">
      <w:pPr>
        <w:rPr>
          <w:rFonts w:cs="Calibri Light"/>
          <w:lang w:val="sq-AL"/>
        </w:rPr>
      </w:pPr>
      <w:r w:rsidRPr="00082FA3">
        <w:rPr>
          <w:rFonts w:cs="Calibri Light"/>
          <w:lang w:val="sq-AL"/>
        </w:rPr>
        <w:t xml:space="preserve">Përveç kësaj, Strategjia njeh domosdoshmërinë e ngritjes së kapaciteteve të OSHC-ve në përputhje me Udhëzimet e BE-së. Qëndrueshmëria financiare për mundësimin e OShC-ve për të forcuar kapacitetet e tyre në kërkim, monitorim, avokim, rrjetëzim, partneritet dhe përfshirjen aktive në procesin e hartimit të politikave dhe ligjeve është një prioritet për vendet në zgjerim dhe është adresuar në Strategji </w:t>
      </w:r>
      <w:r w:rsidRPr="00082FA3">
        <w:rPr>
          <w:rFonts w:cs="Calibri Light"/>
          <w:b/>
          <w:lang w:val="sq-AL"/>
        </w:rPr>
        <w:t xml:space="preserve">(Objektivi #3) </w:t>
      </w:r>
      <w:r w:rsidRPr="00082FA3">
        <w:rPr>
          <w:rFonts w:cs="Calibri Light"/>
          <w:lang w:val="sq-AL"/>
        </w:rPr>
        <w:t xml:space="preserve">. Ndërkohë që vendi lëviz përpara drejt procesit </w:t>
      </w:r>
      <w:r w:rsidR="00ED4125" w:rsidRPr="00082FA3">
        <w:rPr>
          <w:rFonts w:cs="Calibri Light"/>
          <w:lang w:val="sq-AL"/>
        </w:rPr>
        <w:t>te</w:t>
      </w:r>
      <w:r w:rsidRPr="00082FA3">
        <w:rPr>
          <w:rFonts w:cs="Calibri Light"/>
          <w:lang w:val="sq-AL"/>
        </w:rPr>
        <w:t xml:space="preserve"> aderimit, kërkohet që shoqëria civile të bëhet "më pak e varur nga financimet e donatorëve ndërkombëtarë".</w:t>
      </w:r>
      <w:r w:rsidRPr="00082FA3">
        <w:rPr>
          <w:rStyle w:val="FootnoteReference"/>
          <w:rFonts w:cs="Calibri Light"/>
          <w:lang w:val="sq-AL"/>
        </w:rPr>
        <w:footnoteReference w:id="48"/>
      </w:r>
      <w:r w:rsidRPr="00082FA3">
        <w:rPr>
          <w:rFonts w:cs="Calibri Light"/>
          <w:lang w:val="sq-AL"/>
        </w:rPr>
        <w:t xml:space="preserve">  Përmirësimi në zhvillimin e anëtarësimit dhe mbledhjen e fondeve të shumëllojshme në sektorin e shoqërisë civile nga burimet publike dhe private të të ardhurave është një parakusht për zgjerim. Në këtë drejtim, Strategjia ka parashikuar në objektivin e saj të tretë </w:t>
      </w:r>
      <w:r w:rsidRPr="00082FA3">
        <w:rPr>
          <w:rFonts w:cs="Calibri Light"/>
          <w:b/>
          <w:lang w:val="sq-AL"/>
        </w:rPr>
        <w:t xml:space="preserve">(Objektivi # 3) </w:t>
      </w:r>
      <w:r w:rsidRPr="00082FA3">
        <w:rPr>
          <w:rFonts w:cs="Calibri Light"/>
          <w:lang w:val="sq-AL"/>
        </w:rPr>
        <w:t xml:space="preserve">krijimin e një sistemi financiar dhe kritere të përcaktuara për institucionet publike për të ofruar mbështetje financiare për OSHC-të. </w:t>
      </w:r>
    </w:p>
    <w:p w14:paraId="19F0103F" w14:textId="77777777" w:rsidR="008F2A15" w:rsidRDefault="008F2A15" w:rsidP="001F3B38">
      <w:pPr>
        <w:rPr>
          <w:rFonts w:cs="Calibri Light"/>
          <w:lang w:val="sq-AL"/>
        </w:rPr>
      </w:pPr>
    </w:p>
    <w:p w14:paraId="53939449" w14:textId="359B17E2" w:rsidR="00D3149B" w:rsidRPr="00082FA3" w:rsidRDefault="00D3149B" w:rsidP="001F3B38">
      <w:pPr>
        <w:rPr>
          <w:rFonts w:cs="Calibri Light"/>
          <w:lang w:val="sq-AL"/>
        </w:rPr>
      </w:pPr>
      <w:r w:rsidRPr="00082FA3">
        <w:rPr>
          <w:rFonts w:cs="Calibri Light"/>
          <w:lang w:val="sq-AL"/>
        </w:rPr>
        <w:t xml:space="preserve">Këtë vit, është bërë përparim për përcaktimit e kritereve, standardeve dhe procedurave për financimin publik të OSHC-ve me përshtatjen e Rregullores së re 04/2017. Megjithatë, ka shumë sfida përpara që kërkojnë fonde alternative jo vetëm përmes mbështetjes dhe nxitjes së qeverisë, filantropisë dhe sponsorizimit, por edhe gjetjes së mjeteve për bashkëfinancim të OShC-ve dhe përfshirjen e tyre në koordinim në masë të madhe - për çështjet që Strategjia </w:t>
      </w:r>
      <w:r w:rsidR="00B54C44" w:rsidRPr="00082FA3">
        <w:rPr>
          <w:rFonts w:cs="Calibri Light"/>
          <w:lang w:val="sq-AL"/>
        </w:rPr>
        <w:t xml:space="preserve">ka dështuar </w:t>
      </w:r>
      <w:r w:rsidRPr="00082FA3">
        <w:rPr>
          <w:rFonts w:cs="Calibri Light"/>
          <w:lang w:val="sq-AL"/>
        </w:rPr>
        <w:t>në praktikë.</w:t>
      </w:r>
    </w:p>
    <w:p w14:paraId="024A66AE" w14:textId="0CC23D36" w:rsidR="003450C4" w:rsidRPr="00082FA3" w:rsidRDefault="003450C4" w:rsidP="007562F7">
      <w:pPr>
        <w:pStyle w:val="Heading1"/>
        <w:rPr>
          <w:rFonts w:cs="Calibri Light"/>
          <w:lang w:val="sq-AL"/>
        </w:rPr>
      </w:pPr>
      <w:bookmarkStart w:id="26" w:name="_Toc497820355"/>
      <w:r w:rsidRPr="00082FA3">
        <w:rPr>
          <w:rFonts w:cs="Calibri Light"/>
          <w:lang w:val="sq-AL"/>
        </w:rPr>
        <w:t xml:space="preserve">5. </w:t>
      </w:r>
      <w:r w:rsidR="00B54C44" w:rsidRPr="00082FA3">
        <w:rPr>
          <w:rFonts w:cs="Calibri Light"/>
          <w:lang w:val="sq-AL"/>
        </w:rPr>
        <w:t xml:space="preserve">Vlerësimi i </w:t>
      </w:r>
      <w:r w:rsidR="00ED4125" w:rsidRPr="00082FA3">
        <w:rPr>
          <w:rFonts w:cs="Calibri Light"/>
          <w:lang w:val="sq-AL"/>
        </w:rPr>
        <w:t>Koherencës</w:t>
      </w:r>
      <w:bookmarkEnd w:id="26"/>
    </w:p>
    <w:p w14:paraId="7B51DBE0" w14:textId="18D1C928" w:rsidR="008A42B1" w:rsidRPr="00082FA3" w:rsidRDefault="00D20142" w:rsidP="007752F1">
      <w:pPr>
        <w:pBdr>
          <w:bottom w:val="single" w:sz="4" w:space="1" w:color="auto"/>
        </w:pBdr>
        <w:shd w:val="clear" w:color="auto" w:fill="B7FFFF"/>
        <w:rPr>
          <w:rFonts w:cs="Calibri Light"/>
          <w:lang w:val="sq-AL"/>
        </w:rPr>
      </w:pPr>
      <w:r w:rsidRPr="00082FA3">
        <w:rPr>
          <w:rFonts w:cs="Calibri Light"/>
          <w:lang w:val="sq-AL"/>
        </w:rPr>
        <w:t>Deri në çfarë mase Strategjia ka qenë koherente me politikat dhe zhvillimet e tjera në rajon?</w:t>
      </w:r>
      <w:r w:rsidR="008A42B1" w:rsidRPr="00082FA3">
        <w:rPr>
          <w:rFonts w:cs="Calibri Light"/>
          <w:lang w:val="sq-AL"/>
        </w:rPr>
        <w:t xml:space="preserve">  </w:t>
      </w:r>
    </w:p>
    <w:p w14:paraId="3472CAFC" w14:textId="554E73D0" w:rsidR="00D9338E" w:rsidRPr="00082FA3" w:rsidRDefault="00D9338E" w:rsidP="002267FB">
      <w:pPr>
        <w:rPr>
          <w:lang w:val="sq-AL"/>
        </w:rPr>
      </w:pPr>
    </w:p>
    <w:p w14:paraId="5D6B507B" w14:textId="74E97E4B" w:rsidR="00A62A5C" w:rsidRPr="00082FA3" w:rsidRDefault="00D20142" w:rsidP="009E604C">
      <w:pPr>
        <w:rPr>
          <w:lang w:val="sq-AL"/>
        </w:rPr>
      </w:pPr>
      <w:r w:rsidRPr="00082FA3">
        <w:rPr>
          <w:lang w:val="sq-AL"/>
        </w:rPr>
        <w:t xml:space="preserve">Qeveria ka shprehur angazhimin </w:t>
      </w:r>
      <w:r w:rsidRPr="00082FA3">
        <w:rPr>
          <w:b/>
          <w:lang w:val="sq-AL"/>
        </w:rPr>
        <w:t>në letër</w:t>
      </w:r>
      <w:r w:rsidRPr="00082FA3">
        <w:rPr>
          <w:lang w:val="sq-AL"/>
        </w:rPr>
        <w:t xml:space="preserve"> për të konsoliduar më tej marrëdhëniet me shoqërinë civile. Në një masë të madhe, ekziston një koherencë midis Strategjisë dhe politikave të tjera qeveritare. Në Kosovë, procesi i koherencës së politikave ka një potencial për të krijuar një mjedis të përshtatshëm për zhvillimin e shoqërisë civile. Në këtë rast, Strategjia mund të përdoret si një mjet politik për të rritur kapacitetet e qeverisë dhe shoqërisë civile për të shfrytëzuar sinergjitë nëpër sektorë të ndryshëm të politikave. Kjo mund të arrihet vetëm nëse ka vullnet më të madh politik për të zhvilluar një plan veprimi të përcaktuar </w:t>
      </w:r>
      <w:r w:rsidRPr="00082FA3">
        <w:rPr>
          <w:lang w:val="sq-AL"/>
        </w:rPr>
        <w:lastRenderedPageBreak/>
        <w:t xml:space="preserve">dhe gjithëpërfshirës për të arritur objektivat strategjike të Strategjisë. Me Strategjinë e fundit, kjo nuk ka ndodhur. Qeveria, respektivisht Zyra e Kryeministrit (ZKM), përveç që nuk i angazhon burimet financiare dhe njerëzore për Strategjinë, nuk ka marrë të gjithë mbështetjen e nevojshme për të hartuar një udhërrëfyes konsensual për zhvillimin e bashkëpunimit qeveritar me shoqërinë civile. Në veçanti, Zyra e </w:t>
      </w:r>
      <w:r w:rsidR="00A62A5C" w:rsidRPr="00082FA3">
        <w:rPr>
          <w:lang w:val="sq-AL"/>
        </w:rPr>
        <w:t>Planifikimit Strategjik (Z</w:t>
      </w:r>
      <w:r w:rsidRPr="00082FA3">
        <w:rPr>
          <w:lang w:val="sq-AL"/>
        </w:rPr>
        <w:t>SP) nuk ka qenë aq e përgjegjshme për të siguruar zbatimin e Strategjisë në përputhje me pol</w:t>
      </w:r>
      <w:r w:rsidR="007874F3" w:rsidRPr="00082FA3">
        <w:rPr>
          <w:lang w:val="sq-AL"/>
        </w:rPr>
        <w:t>itikat strategjike të qeverisë.</w:t>
      </w:r>
    </w:p>
    <w:p w14:paraId="7A134EAB" w14:textId="4FB8E426" w:rsidR="003450C4" w:rsidRPr="00082FA3" w:rsidRDefault="00816B30" w:rsidP="007562F7">
      <w:pPr>
        <w:pStyle w:val="Heading2"/>
        <w:rPr>
          <w:rFonts w:cs="Calibri Light"/>
          <w:lang w:val="sq-AL"/>
        </w:rPr>
      </w:pPr>
      <w:bookmarkStart w:id="27" w:name="_Toc497820356"/>
      <w:r w:rsidRPr="00082FA3">
        <w:rPr>
          <w:rFonts w:cs="Calibri Light"/>
          <w:lang w:val="sq-AL"/>
        </w:rPr>
        <w:t xml:space="preserve">5.1 </w:t>
      </w:r>
      <w:r w:rsidR="00690E95" w:rsidRPr="00082FA3">
        <w:rPr>
          <w:rFonts w:cs="Calibri Light"/>
          <w:lang w:val="sq-AL"/>
        </w:rPr>
        <w:t>Koherenca me strategjitë dhe politikat e tjera qeveritare</w:t>
      </w:r>
      <w:bookmarkEnd w:id="27"/>
      <w:r w:rsidR="00690E95" w:rsidRPr="00082FA3">
        <w:rPr>
          <w:rFonts w:cs="Calibri Light"/>
          <w:lang w:val="sq-AL"/>
        </w:rPr>
        <w:t xml:space="preserve"> </w:t>
      </w:r>
    </w:p>
    <w:p w14:paraId="51BDEC22" w14:textId="12B3D5A9" w:rsidR="00CD2A2B" w:rsidRPr="00082FA3" w:rsidRDefault="009942F4" w:rsidP="007752F1">
      <w:pPr>
        <w:shd w:val="clear" w:color="auto" w:fill="B7FFFF"/>
        <w:rPr>
          <w:rFonts w:cs="Calibri Light"/>
          <w:i/>
          <w:lang w:val="sq-AL"/>
        </w:rPr>
      </w:pPr>
      <w:r w:rsidRPr="00082FA3">
        <w:rPr>
          <w:rFonts w:cs="Calibri Light"/>
          <w:i/>
          <w:lang w:val="sq-AL"/>
        </w:rPr>
        <w:t>Përmend</w:t>
      </w:r>
      <w:r w:rsidR="004D58D9" w:rsidRPr="00082FA3">
        <w:rPr>
          <w:rFonts w:cs="Calibri Light"/>
          <w:i/>
          <w:lang w:val="sq-AL"/>
        </w:rPr>
        <w:t xml:space="preserve"> strategji të tjera relevante dhe reflekto në koherencën me t</w:t>
      </w:r>
      <w:r w:rsidRPr="00082FA3">
        <w:rPr>
          <w:rFonts w:cs="Calibri Light"/>
          <w:i/>
          <w:lang w:val="sq-AL"/>
        </w:rPr>
        <w:t>o</w:t>
      </w:r>
      <w:r w:rsidR="004D58D9" w:rsidRPr="00082FA3">
        <w:rPr>
          <w:rFonts w:cs="Calibri Light"/>
          <w:i/>
          <w:lang w:val="sq-AL"/>
        </w:rPr>
        <w:t>. Jepni rekomandime për një komplementaritet më të mirë - sidomos sa i përket komunikimit / bashkërendimit</w:t>
      </w:r>
      <w:r w:rsidRPr="00082FA3">
        <w:rPr>
          <w:rFonts w:cs="Calibri Light"/>
          <w:i/>
          <w:lang w:val="sq-AL"/>
        </w:rPr>
        <w:t xml:space="preserve"> më të mirë midis zyrave të ZKM-së</w:t>
      </w:r>
      <w:r w:rsidR="007562F7" w:rsidRPr="00082FA3">
        <w:rPr>
          <w:rFonts w:cs="Calibri Light"/>
          <w:i/>
          <w:lang w:val="sq-AL"/>
        </w:rPr>
        <w:t xml:space="preserve">. </w:t>
      </w:r>
    </w:p>
    <w:p w14:paraId="665D26DE" w14:textId="5549BC10" w:rsidR="00D9338E" w:rsidRPr="00082FA3" w:rsidRDefault="00D9338E" w:rsidP="008754F1">
      <w:pPr>
        <w:rPr>
          <w:rFonts w:cs="Calibri Light"/>
          <w:lang w:val="sq-AL"/>
        </w:rPr>
      </w:pPr>
    </w:p>
    <w:p w14:paraId="228BBB1A" w14:textId="33DAABE7" w:rsidR="00F17CC9" w:rsidRPr="00082FA3" w:rsidRDefault="00F17CC9" w:rsidP="00050789">
      <w:pPr>
        <w:rPr>
          <w:rFonts w:cs="Calibri Light"/>
          <w:lang w:val="sq-AL"/>
        </w:rPr>
      </w:pPr>
      <w:r w:rsidRPr="00082FA3">
        <w:rPr>
          <w:rFonts w:cs="Calibri Light"/>
          <w:lang w:val="sq-AL"/>
        </w:rPr>
        <w:t>Zhvillimi i shoqërisë civile mbetet një prioritet i rëndësishëm i qeverisë. Aktualisht është i përfshirë në programet dhe strategjitë kryesore të qeverisë duke përfshirë Programin e Qeverisë së Kosovës (2015-2018).</w:t>
      </w:r>
      <w:r w:rsidRPr="00082FA3">
        <w:rPr>
          <w:rStyle w:val="FootnoteReference"/>
          <w:rFonts w:cs="Calibri Light"/>
          <w:sz w:val="18"/>
          <w:szCs w:val="18"/>
          <w:lang w:val="sq-AL"/>
        </w:rPr>
        <w:t xml:space="preserve"> </w:t>
      </w:r>
      <w:r w:rsidRPr="00082FA3">
        <w:rPr>
          <w:rStyle w:val="FootnoteReference"/>
          <w:rFonts w:cs="Calibri Light"/>
          <w:sz w:val="18"/>
          <w:szCs w:val="18"/>
          <w:lang w:val="sq-AL"/>
        </w:rPr>
        <w:footnoteReference w:id="49"/>
      </w:r>
      <w:r w:rsidRPr="00082FA3">
        <w:rPr>
          <w:rFonts w:cs="Calibri Light"/>
          <w:lang w:val="sq-AL"/>
        </w:rPr>
        <w:t xml:space="preserve"> Ky Program është specifik për përfshirjen më të madhe të shoqërisë civile në procesin e politikëbërjes dhe transferimin e disa përgjegjësive te shoqër</w:t>
      </w:r>
      <w:r w:rsidR="00ED4125" w:rsidRPr="00082FA3">
        <w:rPr>
          <w:rFonts w:cs="Calibri Light"/>
          <w:lang w:val="sq-AL"/>
        </w:rPr>
        <w:t>isë</w:t>
      </w:r>
      <w:r w:rsidRPr="00082FA3">
        <w:rPr>
          <w:rFonts w:cs="Calibri Light"/>
          <w:lang w:val="sq-AL"/>
        </w:rPr>
        <w:t xml:space="preserve"> civile për të ofruar shërbime publike.</w:t>
      </w:r>
      <w:r w:rsidRPr="00082FA3">
        <w:rPr>
          <w:rStyle w:val="FootnoteReference"/>
          <w:rFonts w:cs="Calibri Light"/>
          <w:lang w:val="sq-AL"/>
        </w:rPr>
        <w:t xml:space="preserve"> </w:t>
      </w:r>
      <w:r w:rsidRPr="00082FA3">
        <w:rPr>
          <w:rStyle w:val="FootnoteReference"/>
          <w:rFonts w:cs="Calibri Light"/>
          <w:lang w:val="sq-AL"/>
        </w:rPr>
        <w:footnoteReference w:id="50"/>
      </w:r>
      <w:r w:rsidRPr="00082FA3">
        <w:rPr>
          <w:rFonts w:cs="Calibri Light"/>
          <w:lang w:val="sq-AL"/>
        </w:rPr>
        <w:t xml:space="preserve"> Qeveria përmes këtij Programi është zotuar të krijojë Strategjinë Kombëtare për Zhvillimin e Kosovës (2016-2021) për qëllime të stimulimit të rritjes ekonomike dhe përmirësimit të mirëqenies së përgjithshme sociale.</w:t>
      </w:r>
      <w:r w:rsidRPr="00082FA3">
        <w:rPr>
          <w:rStyle w:val="FootnoteReference"/>
          <w:rFonts w:cs="Calibri Light"/>
          <w:sz w:val="18"/>
          <w:szCs w:val="18"/>
          <w:lang w:val="sq-AL"/>
        </w:rPr>
        <w:t xml:space="preserve"> </w:t>
      </w:r>
      <w:r w:rsidRPr="00082FA3">
        <w:rPr>
          <w:rStyle w:val="FootnoteReference"/>
          <w:rFonts w:cs="Calibri Light"/>
          <w:sz w:val="18"/>
          <w:szCs w:val="18"/>
          <w:lang w:val="sq-AL"/>
        </w:rPr>
        <w:footnoteReference w:id="51"/>
      </w:r>
    </w:p>
    <w:p w14:paraId="6F78B1AF" w14:textId="77777777" w:rsidR="004F5EDC" w:rsidRPr="00082FA3" w:rsidRDefault="004F5EDC" w:rsidP="00050789">
      <w:pPr>
        <w:rPr>
          <w:rFonts w:cs="Calibri Light"/>
          <w:lang w:val="sq-AL"/>
        </w:rPr>
      </w:pPr>
    </w:p>
    <w:p w14:paraId="63E3641E" w14:textId="40F4445E" w:rsidR="00472A36" w:rsidRPr="00082FA3" w:rsidRDefault="00472A36" w:rsidP="00380106">
      <w:pPr>
        <w:rPr>
          <w:rFonts w:cs="Calibri Light"/>
          <w:lang w:val="sq-AL"/>
        </w:rPr>
      </w:pPr>
      <w:r w:rsidRPr="00082FA3">
        <w:rPr>
          <w:rFonts w:cs="Calibri Light"/>
          <w:lang w:val="sq-AL"/>
        </w:rPr>
        <w:t xml:space="preserve">Prandaj, Zyra e Planifikimit Strategjik (ZPS) e ZKM-së është përgjegjëse për të monitoruar progresin e arritjes së qëllimeve të </w:t>
      </w:r>
      <w:r w:rsidR="00323265" w:rsidRPr="00082FA3">
        <w:rPr>
          <w:rFonts w:cs="Calibri Light"/>
          <w:lang w:val="sq-AL"/>
        </w:rPr>
        <w:t>SKZH</w:t>
      </w:r>
      <w:r w:rsidRPr="00082FA3">
        <w:rPr>
          <w:rFonts w:cs="Calibri Light"/>
          <w:lang w:val="sq-AL"/>
        </w:rPr>
        <w:t xml:space="preserve"> përmes një dialogu gjithëpërfshirës me sektorin privat dhe civil.</w:t>
      </w:r>
      <w:r w:rsidR="00323265" w:rsidRPr="00082FA3">
        <w:rPr>
          <w:rStyle w:val="FootnoteReference"/>
          <w:rFonts w:cs="Calibri Light"/>
          <w:lang w:val="sq-AL"/>
        </w:rPr>
        <w:t xml:space="preserve"> </w:t>
      </w:r>
      <w:r w:rsidR="00323265" w:rsidRPr="00082FA3">
        <w:rPr>
          <w:rStyle w:val="FootnoteReference"/>
          <w:rFonts w:cs="Calibri Light"/>
          <w:lang w:val="sq-AL"/>
        </w:rPr>
        <w:footnoteReference w:id="52"/>
      </w:r>
      <w:r w:rsidR="00323265" w:rsidRPr="00082FA3">
        <w:rPr>
          <w:rFonts w:cs="Calibri Light"/>
          <w:lang w:val="sq-AL"/>
        </w:rPr>
        <w:t xml:space="preserve"> SKZH</w:t>
      </w:r>
      <w:r w:rsidRPr="00082FA3">
        <w:rPr>
          <w:rFonts w:cs="Calibri Light"/>
          <w:lang w:val="sq-AL"/>
        </w:rPr>
        <w:t xml:space="preserve"> për këtë të fundit i referohet Strategjisë si një platformë për bashkëpunim midis Qeverisë dhe shoqërisë civile. Në </w:t>
      </w:r>
      <w:r w:rsidR="00323265" w:rsidRPr="00082FA3">
        <w:rPr>
          <w:rFonts w:cs="Calibri Light"/>
          <w:lang w:val="sq-AL"/>
        </w:rPr>
        <w:t>SKZH</w:t>
      </w:r>
      <w:r w:rsidRPr="00082FA3">
        <w:rPr>
          <w:rFonts w:cs="Calibri Light"/>
          <w:lang w:val="sq-AL"/>
        </w:rPr>
        <w:t>, qeveria ka vendosur prioritet si Strategjinë e Reformës së Administratës Publike (</w:t>
      </w:r>
      <w:r w:rsidR="00323265" w:rsidRPr="00082FA3">
        <w:rPr>
          <w:rFonts w:cs="Calibri Light"/>
          <w:lang w:val="sq-AL"/>
        </w:rPr>
        <w:t>RAP</w:t>
      </w:r>
      <w:r w:rsidRPr="00082FA3">
        <w:rPr>
          <w:rFonts w:cs="Calibri Light"/>
          <w:lang w:val="sq-AL"/>
        </w:rPr>
        <w:t>), pas së cilës janë miratuar disa strategji, duke përfshirë Strategjinë e Modernizimit të Administratës Pu</w:t>
      </w:r>
      <w:r w:rsidR="008E345A" w:rsidRPr="00082FA3">
        <w:rPr>
          <w:rFonts w:cs="Calibri Light"/>
          <w:lang w:val="sq-AL"/>
        </w:rPr>
        <w:t>blike (M</w:t>
      </w:r>
      <w:r w:rsidRPr="00082FA3">
        <w:rPr>
          <w:rFonts w:cs="Calibri Light"/>
          <w:lang w:val="sq-AL"/>
        </w:rPr>
        <w:t>A</w:t>
      </w:r>
      <w:r w:rsidR="008E345A" w:rsidRPr="00082FA3">
        <w:rPr>
          <w:rFonts w:cs="Calibri Light"/>
          <w:lang w:val="sq-AL"/>
        </w:rPr>
        <w:t>P</w:t>
      </w:r>
      <w:r w:rsidRPr="00082FA3">
        <w:rPr>
          <w:rFonts w:cs="Calibri Light"/>
          <w:lang w:val="sq-AL"/>
        </w:rPr>
        <w:t>).</w:t>
      </w:r>
      <w:r w:rsidR="008E345A" w:rsidRPr="00082FA3">
        <w:rPr>
          <w:rStyle w:val="FootnoteReference"/>
          <w:rFonts w:cs="Calibri Light"/>
          <w:sz w:val="18"/>
          <w:szCs w:val="18"/>
          <w:lang w:val="sq-AL"/>
        </w:rPr>
        <w:footnoteReference w:id="53"/>
      </w:r>
      <w:r w:rsidR="008E345A" w:rsidRPr="00082FA3">
        <w:rPr>
          <w:rFonts w:cs="Calibri Light"/>
          <w:lang w:val="sq-AL"/>
        </w:rPr>
        <w:t xml:space="preserve"> </w:t>
      </w:r>
      <w:r w:rsidRPr="00082FA3">
        <w:rPr>
          <w:rFonts w:cs="Calibri Light"/>
          <w:lang w:val="sq-AL"/>
        </w:rPr>
        <w:t xml:space="preserve"> Këto strategji janë po aq të rëndësishme për krijimin e një kornize efektive të politikave kur bëhet fjalë për përmbushjen e axhendës së reformave me qëllim të krijimit të një administrate të orientuar </w:t>
      </w:r>
      <w:r w:rsidR="008E345A" w:rsidRPr="00082FA3">
        <w:rPr>
          <w:rFonts w:cs="Calibri Light"/>
          <w:lang w:val="sq-AL"/>
        </w:rPr>
        <w:t>kah</w:t>
      </w:r>
      <w:r w:rsidRPr="00082FA3">
        <w:rPr>
          <w:rFonts w:cs="Calibri Light"/>
          <w:lang w:val="sq-AL"/>
        </w:rPr>
        <w:t xml:space="preserve"> qytetarët.</w:t>
      </w:r>
    </w:p>
    <w:p w14:paraId="0058130C" w14:textId="77777777" w:rsidR="00323265" w:rsidRPr="00082FA3" w:rsidRDefault="00323265" w:rsidP="00380106">
      <w:pPr>
        <w:rPr>
          <w:rFonts w:cs="Calibri Light"/>
          <w:lang w:val="sq-AL"/>
        </w:rPr>
      </w:pPr>
    </w:p>
    <w:p w14:paraId="115347F0" w14:textId="5AFF42E2" w:rsidR="00EF5BB9" w:rsidRPr="00082FA3" w:rsidRDefault="00EF5BB9" w:rsidP="008754F1">
      <w:pPr>
        <w:rPr>
          <w:lang w:val="sq-AL"/>
        </w:rPr>
      </w:pPr>
      <w:r w:rsidRPr="00082FA3">
        <w:rPr>
          <w:lang w:val="sq-AL"/>
        </w:rPr>
        <w:t>Përveç kësaj, nevoja për rregullim më të mirë rrjedh nga Strategjia e Qeverisë për Bashkëpunimin me Shoqërinë Civile 2013-2017.</w:t>
      </w:r>
      <w:r w:rsidRPr="00082FA3">
        <w:rPr>
          <w:rStyle w:val="FootnoteReference"/>
          <w:lang w:val="sq-AL"/>
        </w:rPr>
        <w:footnoteReference w:id="54"/>
      </w:r>
      <w:r w:rsidRPr="00082FA3">
        <w:rPr>
          <w:lang w:val="sq-AL"/>
        </w:rPr>
        <w:t xml:space="preserve"> Konsultimi publik efektiv ndërmjet institucioneve publike dhe palëve të interesit, si shoqëria civile dhe komuniteti i biznesit, është çelësi për zbatimin e një sistemi efektiv të politikave dhe legjislacionit."</w:t>
      </w:r>
      <w:r w:rsidRPr="00082FA3">
        <w:rPr>
          <w:rStyle w:val="FootnoteReference"/>
          <w:lang w:val="sq-AL"/>
        </w:rPr>
        <w:footnoteReference w:id="55"/>
      </w:r>
      <w:r w:rsidRPr="00082FA3">
        <w:rPr>
          <w:lang w:val="sq-AL"/>
        </w:rPr>
        <w:t xml:space="preserve"> Është miratuar Strategjia për një Rregullim më të Mirë. Ajo fokusohet në krijimin e një sistemi rregullator efektiv, i cili krijon një balancë midis kostove dhe përfitimeve ekonomike, mjedisore dhe sociale duke respektuar parimet dhe procedurat e vlerësimit të ndikimit rregullator.</w:t>
      </w:r>
      <w:r w:rsidRPr="00082FA3">
        <w:rPr>
          <w:rStyle w:val="FootnoteReference"/>
          <w:rFonts w:cs="Calibri Light"/>
          <w:sz w:val="18"/>
          <w:szCs w:val="18"/>
          <w:lang w:val="sq-AL"/>
        </w:rPr>
        <w:footnoteReference w:id="56"/>
      </w:r>
    </w:p>
    <w:p w14:paraId="46B22BD7" w14:textId="77777777" w:rsidR="00EF5BB9" w:rsidRPr="00082FA3" w:rsidRDefault="00EF5BB9" w:rsidP="008754F1">
      <w:pPr>
        <w:rPr>
          <w:lang w:val="sq-AL"/>
        </w:rPr>
      </w:pPr>
    </w:p>
    <w:p w14:paraId="2698647F" w14:textId="1CA42AE4" w:rsidR="00F33A16" w:rsidRPr="00082FA3" w:rsidRDefault="00816B30" w:rsidP="00695896">
      <w:pPr>
        <w:pStyle w:val="Heading2"/>
        <w:rPr>
          <w:rFonts w:cs="Calibri Light"/>
          <w:lang w:val="sq-AL"/>
        </w:rPr>
      </w:pPr>
      <w:bookmarkStart w:id="28" w:name="_Toc497820357"/>
      <w:r w:rsidRPr="00082FA3">
        <w:rPr>
          <w:rFonts w:cs="Calibri Light"/>
          <w:lang w:val="sq-AL"/>
        </w:rPr>
        <w:t xml:space="preserve">5.2 </w:t>
      </w:r>
      <w:r w:rsidR="002C64ED" w:rsidRPr="00082FA3">
        <w:rPr>
          <w:rFonts w:cs="Calibri Light"/>
          <w:lang w:val="sq-AL"/>
        </w:rPr>
        <w:t>Koherenca me Zhvillimet në Kontekstin Rajonal / Ndërkombëtar</w:t>
      </w:r>
      <w:bookmarkEnd w:id="28"/>
      <w:r w:rsidR="002C64ED" w:rsidRPr="00082FA3">
        <w:rPr>
          <w:rFonts w:cs="Calibri Light"/>
          <w:lang w:val="sq-AL"/>
        </w:rPr>
        <w:t xml:space="preserve"> </w:t>
      </w:r>
    </w:p>
    <w:p w14:paraId="3F543501" w14:textId="5B87B633" w:rsidR="00CD2A2B" w:rsidRPr="00082FA3" w:rsidRDefault="007166BD" w:rsidP="007752F1">
      <w:pPr>
        <w:shd w:val="clear" w:color="auto" w:fill="B7FFFF"/>
        <w:rPr>
          <w:rFonts w:cs="Calibri Light"/>
          <w:i/>
          <w:lang w:val="sq-AL"/>
        </w:rPr>
      </w:pPr>
      <w:r w:rsidRPr="00082FA3">
        <w:rPr>
          <w:rFonts w:cs="Calibri Light"/>
          <w:i/>
          <w:lang w:val="sq-AL"/>
        </w:rPr>
        <w:t>Përmendni sfidat kyçe me të cilat ballafaqohen të gjitha vendet në rajon dhe se si kjo Strategji është koherente me zhvillimet / përpjekjet e tjera</w:t>
      </w:r>
    </w:p>
    <w:p w14:paraId="1C822B2D" w14:textId="5A386100" w:rsidR="00BB2A73" w:rsidRPr="00082FA3" w:rsidRDefault="00BB2A73" w:rsidP="00F54985">
      <w:pPr>
        <w:rPr>
          <w:lang w:val="sq-AL"/>
        </w:rPr>
      </w:pPr>
    </w:p>
    <w:p w14:paraId="50996821" w14:textId="10F8E42D" w:rsidR="007166BD" w:rsidRPr="00082FA3" w:rsidRDefault="007166BD" w:rsidP="00362DE2">
      <w:pPr>
        <w:rPr>
          <w:rFonts w:cs="Calibri Light"/>
          <w:lang w:val="sq-AL"/>
        </w:rPr>
      </w:pPr>
      <w:r w:rsidRPr="00082FA3">
        <w:rPr>
          <w:rFonts w:cs="Calibri Light"/>
          <w:lang w:val="sq-AL"/>
        </w:rPr>
        <w:t xml:space="preserve">Sfidat kryesore në rajon vazhdojnë të jenë "sundimi i ligjit, të drejtat themelore, institucionet demokratike dhe </w:t>
      </w:r>
      <w:r w:rsidRPr="00082FA3">
        <w:rPr>
          <w:rFonts w:cs="Calibri Light"/>
          <w:b/>
          <w:lang w:val="sq-AL"/>
        </w:rPr>
        <w:t>reforma e administratës publike</w:t>
      </w:r>
      <w:r w:rsidRPr="00082FA3">
        <w:rPr>
          <w:rFonts w:cs="Calibri Light"/>
          <w:lang w:val="sq-AL"/>
        </w:rPr>
        <w:t>, si dhe ekonomia dhe institucionet e zgjedhura".</w:t>
      </w:r>
      <w:r w:rsidRPr="00082FA3">
        <w:rPr>
          <w:rStyle w:val="FootnoteReference"/>
          <w:rFonts w:cs="Calibri Light"/>
          <w:lang w:val="sq-AL"/>
        </w:rPr>
        <w:footnoteReference w:id="57"/>
      </w:r>
      <w:r w:rsidRPr="00082FA3">
        <w:rPr>
          <w:rFonts w:cs="Calibri Light"/>
          <w:lang w:val="sq-AL"/>
        </w:rPr>
        <w:t xml:space="preserve">  Sipas Politikës së </w:t>
      </w:r>
      <w:r w:rsidRPr="00082FA3">
        <w:rPr>
          <w:rFonts w:cs="Calibri Light"/>
          <w:lang w:val="sq-AL"/>
        </w:rPr>
        <w:lastRenderedPageBreak/>
        <w:t>Zgjerimit të BE-së (2016) për vendet e Ballkanit Perëndimor, "reformat ekonomike dhe forcimi i sundimit të ligjit prodhojnë përfitime reciproke."</w:t>
      </w:r>
      <w:r w:rsidRPr="00082FA3">
        <w:rPr>
          <w:rStyle w:val="FootnoteReference"/>
          <w:rFonts w:cs="Calibri Light"/>
          <w:lang w:val="sq-AL"/>
        </w:rPr>
        <w:t xml:space="preserve"> </w:t>
      </w:r>
      <w:r w:rsidRPr="00082FA3">
        <w:rPr>
          <w:rStyle w:val="FootnoteReference"/>
          <w:rFonts w:cs="Calibri Light"/>
          <w:lang w:val="sq-AL"/>
        </w:rPr>
        <w:footnoteReference w:id="58"/>
      </w:r>
      <w:r w:rsidRPr="00082FA3">
        <w:rPr>
          <w:rFonts w:cs="Calibri Light"/>
          <w:lang w:val="sq-AL"/>
        </w:rPr>
        <w:t xml:space="preserve">  Përveç kësaj, marrëdhëniet e fqinjësisë së mirë dhe bashkëpunimi rajonal janë po aq të rëndësishme për proceset e zgjerimit dhe stabilizim asociimit (p.sh.</w:t>
      </w:r>
    </w:p>
    <w:p w14:paraId="77E5E8F9" w14:textId="0DE81398" w:rsidR="007166BD" w:rsidRPr="00082FA3" w:rsidRDefault="007166BD" w:rsidP="00362DE2">
      <w:pPr>
        <w:rPr>
          <w:rFonts w:cs="Calibri Light"/>
          <w:lang w:val="sq-AL"/>
        </w:rPr>
      </w:pPr>
      <w:r w:rsidRPr="00082FA3">
        <w:rPr>
          <w:rFonts w:cs="Calibri Light"/>
          <w:lang w:val="sq-AL"/>
        </w:rPr>
        <w:t>Kosova duhet të thellojë angazhimin e saj n</w:t>
      </w:r>
      <w:r w:rsidR="005A173A" w:rsidRPr="00082FA3">
        <w:rPr>
          <w:rFonts w:cs="Calibri Light"/>
          <w:lang w:val="sq-AL"/>
        </w:rPr>
        <w:t>ë dialogun politik me Serbinë).</w:t>
      </w:r>
      <w:r w:rsidR="005A173A" w:rsidRPr="00082FA3">
        <w:rPr>
          <w:rStyle w:val="FootnoteReference"/>
          <w:rFonts w:cs="Calibri Light"/>
          <w:lang w:val="sq-AL"/>
        </w:rPr>
        <w:footnoteReference w:id="59"/>
      </w:r>
      <w:r w:rsidR="005A173A" w:rsidRPr="00082FA3">
        <w:rPr>
          <w:rFonts w:cs="Calibri Light"/>
          <w:lang w:val="sq-AL"/>
        </w:rPr>
        <w:t xml:space="preserve"> </w:t>
      </w:r>
      <w:r w:rsidRPr="00082FA3">
        <w:rPr>
          <w:rFonts w:cs="Calibri Light"/>
          <w:lang w:val="sq-AL"/>
        </w:rPr>
        <w:t>Duke nënshkruar MSA</w:t>
      </w:r>
      <w:r w:rsidR="005A173A" w:rsidRPr="00082FA3">
        <w:rPr>
          <w:rFonts w:cs="Calibri Light"/>
          <w:lang w:val="sq-AL"/>
        </w:rPr>
        <w:t>-në</w:t>
      </w:r>
      <w:r w:rsidRPr="00082FA3">
        <w:rPr>
          <w:rFonts w:cs="Calibri Light"/>
          <w:lang w:val="sq-AL"/>
        </w:rPr>
        <w:t>, kërkohet një planifikim më efikas dhe një proces i vendimmarrjes si dhe përmirësime në zhvillimin e politikave dhe kapacitetet zbatuese.</w:t>
      </w:r>
      <w:r w:rsidR="005A173A" w:rsidRPr="00082FA3">
        <w:rPr>
          <w:rStyle w:val="FootnoteReference"/>
          <w:lang w:val="sq-AL"/>
        </w:rPr>
        <w:t xml:space="preserve"> </w:t>
      </w:r>
      <w:r w:rsidR="005A173A" w:rsidRPr="00082FA3">
        <w:rPr>
          <w:rStyle w:val="FootnoteReference"/>
          <w:lang w:val="sq-AL"/>
        </w:rPr>
        <w:footnoteReference w:id="60"/>
      </w:r>
    </w:p>
    <w:p w14:paraId="672B86D8" w14:textId="3692F41A" w:rsidR="00A64359" w:rsidRPr="00082FA3" w:rsidRDefault="00A64359" w:rsidP="00BB2A73">
      <w:pPr>
        <w:rPr>
          <w:rFonts w:cs="Calibri Light"/>
          <w:lang w:val="sq-AL"/>
        </w:rPr>
      </w:pPr>
    </w:p>
    <w:p w14:paraId="5B99328E" w14:textId="4C79357A" w:rsidR="008A63EB" w:rsidRPr="00082FA3" w:rsidRDefault="008A63EB" w:rsidP="00BB2A73">
      <w:pPr>
        <w:rPr>
          <w:rFonts w:cs="Calibri Light"/>
          <w:lang w:val="sq-AL"/>
        </w:rPr>
      </w:pPr>
      <w:r w:rsidRPr="00082FA3">
        <w:rPr>
          <w:rFonts w:cs="Calibri Light"/>
          <w:lang w:val="sq-AL"/>
        </w:rPr>
        <w:t xml:space="preserve">Në vitin 2016, KE ka vlerësuar lart ratifikimin e Marrëveshjes së Stabilizim Asociimit (MSA). MSA ka hyrë në fuqi më </w:t>
      </w:r>
      <w:r w:rsidRPr="00082FA3">
        <w:rPr>
          <w:rFonts w:cs="Calibri Light"/>
          <w:b/>
          <w:lang w:val="sq-AL"/>
        </w:rPr>
        <w:t>1 prill 2016</w:t>
      </w:r>
      <w:r w:rsidRPr="00082FA3">
        <w:rPr>
          <w:rFonts w:cs="Calibri Light"/>
          <w:lang w:val="sq-AL"/>
        </w:rPr>
        <w:t xml:space="preserve"> dhe është </w:t>
      </w:r>
      <w:r w:rsidR="00ED4125" w:rsidRPr="00082FA3">
        <w:rPr>
          <w:rFonts w:cs="Calibri Light"/>
          <w:lang w:val="sq-AL"/>
        </w:rPr>
        <w:t>dizajnuar</w:t>
      </w:r>
      <w:r w:rsidRPr="00082FA3">
        <w:rPr>
          <w:rFonts w:cs="Calibri Light"/>
          <w:lang w:val="sq-AL"/>
        </w:rPr>
        <w:t xml:space="preserve"> për të dhënë një kornizë gjithëpërfshirës "për marrëdhënie më të ngushta politike dhe ekonomike midis BE-së dhe Kosovës".</w:t>
      </w:r>
      <w:r w:rsidRPr="00082FA3">
        <w:rPr>
          <w:rStyle w:val="FootnoteReference"/>
          <w:rFonts w:cs="Calibri Light"/>
          <w:lang w:val="sq-AL"/>
        </w:rPr>
        <w:footnoteReference w:id="61"/>
      </w:r>
      <w:r w:rsidRPr="00082FA3">
        <w:rPr>
          <w:rFonts w:cs="Calibri Light"/>
          <w:lang w:val="sq-AL"/>
        </w:rPr>
        <w:t xml:space="preserve"> Nga perspektiva e MSA-së, vendit i kërkohet të angazhohet dhe të kontribuojë në proceset stabilizuese politike, ekonomike dhe institucionale përmes </w:t>
      </w:r>
      <w:r w:rsidRPr="00082FA3">
        <w:rPr>
          <w:rFonts w:cs="Calibri Light"/>
          <w:i/>
          <w:lang w:val="sq-AL"/>
        </w:rPr>
        <w:t>mjeteve të përshtatshme,</w:t>
      </w:r>
      <w:r w:rsidRPr="00082FA3">
        <w:rPr>
          <w:rFonts w:cs="Calibri Light"/>
          <w:lang w:val="sq-AL"/>
        </w:rPr>
        <w:t xml:space="preserve"> duke përfshirë zhvillimin </w:t>
      </w:r>
      <w:r w:rsidRPr="00082FA3">
        <w:rPr>
          <w:rFonts w:cs="Calibri Light"/>
          <w:b/>
          <w:lang w:val="sq-AL"/>
        </w:rPr>
        <w:t>e shoqërisë civile dhe demokratizimin</w:t>
      </w:r>
      <w:r w:rsidRPr="00082FA3">
        <w:rPr>
          <w:rFonts w:cs="Calibri Light"/>
          <w:lang w:val="sq-AL"/>
        </w:rPr>
        <w:t>.</w:t>
      </w:r>
      <w:r w:rsidRPr="00082FA3">
        <w:rPr>
          <w:rStyle w:val="FootnoteReference"/>
          <w:rFonts w:cs="Calibri Light"/>
          <w:lang w:val="sq-AL"/>
        </w:rPr>
        <w:footnoteReference w:id="62"/>
      </w:r>
      <w:r w:rsidRPr="00082FA3">
        <w:rPr>
          <w:rFonts w:cs="Calibri Light"/>
          <w:lang w:val="sq-AL"/>
        </w:rPr>
        <w:t xml:space="preserve"> Në këtë drejtim, objektivat e Strategjisë janë jashtëzakonisht koherente dhe në përmbajtje kanë tendencë të adresojnë çështjet më të ngutshme politike, ekonomike dhe institucionale në vend.</w:t>
      </w:r>
    </w:p>
    <w:p w14:paraId="5BB51998" w14:textId="77777777" w:rsidR="008A63EB" w:rsidRPr="00082FA3" w:rsidRDefault="008A63EB" w:rsidP="00BB2A73">
      <w:pPr>
        <w:rPr>
          <w:rFonts w:cs="Calibri Light"/>
          <w:lang w:val="sq-AL"/>
        </w:rPr>
      </w:pPr>
    </w:p>
    <w:p w14:paraId="356664AD" w14:textId="22402D9C" w:rsidR="00BA3098" w:rsidRPr="00082FA3" w:rsidRDefault="00BA3098" w:rsidP="00907367">
      <w:pPr>
        <w:rPr>
          <w:rFonts w:cs="Calibri Light"/>
          <w:lang w:val="sq-AL"/>
        </w:rPr>
      </w:pPr>
      <w:r w:rsidRPr="00082FA3">
        <w:rPr>
          <w:rFonts w:cs="Calibri Light"/>
          <w:lang w:val="sq-AL"/>
        </w:rPr>
        <w:t>Reforma e administratës publike (RAP) është një proces që lidhet më drejtpërdrejt me Strategjinë. Rëndësia e saj është theksuar nga BE në Strategjinë e Zgjerimit. Ajo përshkruan se një administratë publike funksionale është thelbësore për qeverisjen demokratike dhe llogaridhënien dhe determinon cilësinë e ofrimit të shërbimeve dhe kështu tregon nivelin e rritjes ekonomike në vend.</w:t>
      </w:r>
      <w:r w:rsidRPr="00082FA3">
        <w:rPr>
          <w:rStyle w:val="FootnoteReference"/>
          <w:rFonts w:ascii="Tahoma" w:hAnsi="Tahoma"/>
          <w:sz w:val="18"/>
          <w:szCs w:val="18"/>
          <w:lang w:val="sq-AL"/>
        </w:rPr>
        <w:footnoteReference w:id="63"/>
      </w:r>
      <w:r w:rsidRPr="00082FA3">
        <w:rPr>
          <w:rFonts w:cs="Calibri Light"/>
          <w:lang w:val="sq-AL"/>
        </w:rPr>
        <w:t xml:space="preserve"> Prandaj, një shoqëri civile e fortë është vendimtare për rritjen e llogaridhënies dhe kohezionit social, përveç thellimit të mirëkuptimit dhe përfshirjes së reformave të lidhura me anëtarësimin.</w:t>
      </w:r>
    </w:p>
    <w:p w14:paraId="3FB4F8EA" w14:textId="3C9F0B2B" w:rsidR="003450C4" w:rsidRPr="00082FA3" w:rsidRDefault="00907367" w:rsidP="00973813">
      <w:pPr>
        <w:pStyle w:val="Heading1"/>
        <w:rPr>
          <w:rFonts w:cs="Calibri Light"/>
          <w:lang w:val="sq-AL"/>
        </w:rPr>
      </w:pPr>
      <w:bookmarkStart w:id="29" w:name="_Toc497820358"/>
      <w:r w:rsidRPr="00082FA3">
        <w:rPr>
          <w:rFonts w:cs="Calibri Light"/>
          <w:lang w:val="sq-AL"/>
        </w:rPr>
        <w:t>6</w:t>
      </w:r>
      <w:r w:rsidR="0020367B" w:rsidRPr="00082FA3">
        <w:rPr>
          <w:rFonts w:cs="Calibri Light"/>
          <w:lang w:val="sq-AL"/>
        </w:rPr>
        <w:t xml:space="preserve">. </w:t>
      </w:r>
      <w:r w:rsidR="00BA3098" w:rsidRPr="00082FA3">
        <w:rPr>
          <w:rFonts w:cs="Calibri Light"/>
          <w:lang w:val="sq-AL"/>
        </w:rPr>
        <w:t xml:space="preserve">Përmbledhje e Gjetjeve dhe </w:t>
      </w:r>
      <w:r w:rsidR="007562F7" w:rsidRPr="00082FA3">
        <w:rPr>
          <w:rFonts w:cs="Calibri Light"/>
          <w:lang w:val="sq-AL"/>
        </w:rPr>
        <w:t>Re</w:t>
      </w:r>
      <w:r w:rsidR="00BA3098" w:rsidRPr="00082FA3">
        <w:rPr>
          <w:rFonts w:cs="Calibri Light"/>
          <w:lang w:val="sq-AL"/>
        </w:rPr>
        <w:t>komandimet</w:t>
      </w:r>
      <w:bookmarkEnd w:id="29"/>
      <w:r w:rsidR="007562F7" w:rsidRPr="00082FA3">
        <w:rPr>
          <w:rFonts w:cs="Calibri Light"/>
          <w:lang w:val="sq-AL"/>
        </w:rPr>
        <w:t xml:space="preserve"> </w:t>
      </w:r>
    </w:p>
    <w:p w14:paraId="736F7860" w14:textId="5675197F" w:rsidR="00334238" w:rsidRPr="00082FA3" w:rsidRDefault="00334238" w:rsidP="007D552C">
      <w:pPr>
        <w:rPr>
          <w:lang w:val="sq-AL"/>
        </w:rPr>
      </w:pPr>
      <w:r w:rsidRPr="00082FA3">
        <w:rPr>
          <w:lang w:val="sq-AL"/>
        </w:rPr>
        <w:t xml:space="preserve">Matrica e Monitorimit dhe Raportimit tregon se zbatimi i Strategjisë ka arritur </w:t>
      </w:r>
      <w:r w:rsidRPr="00082FA3">
        <w:rPr>
          <w:b/>
          <w:lang w:val="sq-AL"/>
        </w:rPr>
        <w:t>73 për qind</w:t>
      </w:r>
      <w:r w:rsidRPr="00082FA3">
        <w:rPr>
          <w:lang w:val="sq-AL"/>
        </w:rPr>
        <w:t>. Prandaj, objektivi i parë strategjik ka qenë më i arritshmi në krahasim me objektivat e tjerë, në të cilin rast niveli i progresit ka arritur në 90 përqind. Zbatimi i objektivit për përfshirjen e shoqërisë civile në politik</w:t>
      </w:r>
      <w:r w:rsidR="008443D7" w:rsidRPr="00082FA3">
        <w:rPr>
          <w:lang w:val="sq-AL"/>
        </w:rPr>
        <w:t>ëberje</w:t>
      </w:r>
      <w:r w:rsidRPr="00082FA3">
        <w:rPr>
          <w:lang w:val="sq-AL"/>
        </w:rPr>
        <w:t xml:space="preserve"> ka arritur në </w:t>
      </w:r>
      <w:r w:rsidRPr="00082FA3">
        <w:rPr>
          <w:b/>
          <w:lang w:val="sq-AL"/>
        </w:rPr>
        <w:t>90 përqind</w:t>
      </w:r>
      <w:r w:rsidRPr="00082FA3">
        <w:rPr>
          <w:lang w:val="sq-AL"/>
        </w:rPr>
        <w:t xml:space="preserve">. Zbatimi i Strategjisë për krijimin e një sistemi të kontraktimit të shërbimeve publike për shoqërinë civile ka arritur vetëm </w:t>
      </w:r>
      <w:r w:rsidRPr="00082FA3">
        <w:rPr>
          <w:b/>
          <w:lang w:val="sq-AL"/>
        </w:rPr>
        <w:t>50 përqind</w:t>
      </w:r>
      <w:r w:rsidRPr="00082FA3">
        <w:rPr>
          <w:lang w:val="sq-AL"/>
        </w:rPr>
        <w:t xml:space="preserve">. Nivelet e zbatimit </w:t>
      </w:r>
      <w:r w:rsidR="008443D7" w:rsidRPr="00082FA3">
        <w:rPr>
          <w:lang w:val="sq-AL"/>
        </w:rPr>
        <w:t>të</w:t>
      </w:r>
      <w:r w:rsidRPr="00082FA3">
        <w:rPr>
          <w:lang w:val="sq-AL"/>
        </w:rPr>
        <w:t xml:space="preserve"> raportuar janë pak më të larta për objektivat ose fushat prioritare për </w:t>
      </w:r>
      <w:r w:rsidRPr="00082FA3">
        <w:rPr>
          <w:i/>
          <w:lang w:val="sq-AL"/>
        </w:rPr>
        <w:t xml:space="preserve">krijimin e një sistemi të financimit publik të shoqërisë </w:t>
      </w:r>
      <w:r w:rsidRPr="00082FA3">
        <w:rPr>
          <w:b/>
          <w:i/>
          <w:lang w:val="sq-AL"/>
        </w:rPr>
        <w:t>civile</w:t>
      </w:r>
      <w:r w:rsidRPr="00082FA3">
        <w:rPr>
          <w:b/>
          <w:lang w:val="sq-AL"/>
        </w:rPr>
        <w:t xml:space="preserve"> (70 përqind)</w:t>
      </w:r>
      <w:r w:rsidRPr="00082FA3">
        <w:rPr>
          <w:lang w:val="sq-AL"/>
        </w:rPr>
        <w:t xml:space="preserve"> dhe </w:t>
      </w:r>
      <w:r w:rsidRPr="00082FA3">
        <w:rPr>
          <w:i/>
          <w:lang w:val="sq-AL"/>
        </w:rPr>
        <w:t>promovimin e një qasjeje të integruar për vullnetarizmin</w:t>
      </w:r>
      <w:r w:rsidRPr="00082FA3">
        <w:rPr>
          <w:lang w:val="sq-AL"/>
        </w:rPr>
        <w:t xml:space="preserve"> (</w:t>
      </w:r>
      <w:r w:rsidRPr="00082FA3">
        <w:rPr>
          <w:b/>
          <w:lang w:val="sq-AL"/>
        </w:rPr>
        <w:t>83 përqind</w:t>
      </w:r>
      <w:r w:rsidRPr="00082FA3">
        <w:rPr>
          <w:lang w:val="sq-AL"/>
        </w:rPr>
        <w:t>)!</w:t>
      </w:r>
    </w:p>
    <w:p w14:paraId="78177F5C" w14:textId="77777777" w:rsidR="00334238" w:rsidRPr="00082FA3" w:rsidRDefault="00334238" w:rsidP="007D552C">
      <w:pPr>
        <w:rPr>
          <w:lang w:val="sq-AL"/>
        </w:rPr>
      </w:pPr>
    </w:p>
    <w:p w14:paraId="12AA8E55" w14:textId="69615858" w:rsidR="009C3A38" w:rsidRDefault="009C3A38" w:rsidP="007D552C">
      <w:pPr>
        <w:rPr>
          <w:rFonts w:cs="Calibri Light"/>
          <w:lang w:val="sq-AL"/>
        </w:rPr>
      </w:pPr>
      <w:r w:rsidRPr="00082FA3">
        <w:rPr>
          <w:rFonts w:cs="Calibri Light"/>
          <w:lang w:val="sq-AL"/>
        </w:rPr>
        <w:t xml:space="preserve">Megjithatë, nëse matet niveli i ndikimit, sa i përket efektshmërisë së veprimtarive për secilin Objektivë, në praktikë mund të raportohet më pak progres. Zemra e problemit është metoda e përdorur në bazë të </w:t>
      </w:r>
      <w:r w:rsidR="0036478C" w:rsidRPr="00082FA3">
        <w:rPr>
          <w:rFonts w:cs="Calibri Light"/>
          <w:lang w:val="sq-AL"/>
        </w:rPr>
        <w:t>indikatorëve</w:t>
      </w:r>
      <w:r w:rsidRPr="00082FA3">
        <w:rPr>
          <w:rFonts w:cs="Calibri Light"/>
          <w:lang w:val="sq-AL"/>
        </w:rPr>
        <w:t xml:space="preserve"> që ma</w:t>
      </w:r>
      <w:r w:rsidR="0036478C" w:rsidRPr="00082FA3">
        <w:rPr>
          <w:rFonts w:cs="Calibri Light"/>
          <w:lang w:val="sq-AL"/>
        </w:rPr>
        <w:t>tin</w:t>
      </w:r>
      <w:r w:rsidRPr="00082FA3">
        <w:rPr>
          <w:rFonts w:cs="Calibri Light"/>
          <w:lang w:val="sq-AL"/>
        </w:rPr>
        <w:t xml:space="preserve"> vetëm performancën </w:t>
      </w:r>
      <w:r w:rsidR="0036478C" w:rsidRPr="00082FA3">
        <w:rPr>
          <w:rFonts w:cs="Calibri Light"/>
          <w:lang w:val="sq-AL"/>
        </w:rPr>
        <w:t>kuantitative</w:t>
      </w:r>
      <w:r w:rsidRPr="00082FA3">
        <w:rPr>
          <w:rFonts w:cs="Calibri Light"/>
          <w:lang w:val="sq-AL"/>
        </w:rPr>
        <w:t xml:space="preserve"> të Strategjisë. Prandaj, përdorimi i Matricës së Monitorimit dhe Raportimit nuk është një mjet i mjaftueshëm </w:t>
      </w:r>
      <w:r w:rsidR="009E604C" w:rsidRPr="00082FA3">
        <w:rPr>
          <w:rFonts w:cs="Calibri Light"/>
          <w:lang w:val="sq-AL"/>
        </w:rPr>
        <w:t xml:space="preserve">dhe adekuat, </w:t>
      </w:r>
      <w:r w:rsidRPr="00082FA3">
        <w:rPr>
          <w:rFonts w:cs="Calibri Light"/>
          <w:lang w:val="sq-AL"/>
        </w:rPr>
        <w:t>dhe duhet të rishikohet për hartimin e Strategjisë 2018-2022. Sistemi i ri i matjes duhet të përbëhet nga një Sistem Vlerësimi Monitorimi më i bazuar në rezultate që nuk do të vendose</w:t>
      </w:r>
      <w:r w:rsidR="0036478C" w:rsidRPr="00082FA3">
        <w:rPr>
          <w:rFonts w:cs="Calibri Light"/>
          <w:lang w:val="sq-AL"/>
        </w:rPr>
        <w:t>j</w:t>
      </w:r>
      <w:r w:rsidRPr="00082FA3">
        <w:rPr>
          <w:rFonts w:cs="Calibri Light"/>
          <w:lang w:val="sq-AL"/>
        </w:rPr>
        <w:t xml:space="preserve"> domosdoshmërisht në përqindje. Ky sistem gjithashtu duhet të lejojë vlerësimin e rezultateve dhe ndikimeve dhe jo vetëm rezultatet bazë.</w:t>
      </w:r>
    </w:p>
    <w:p w14:paraId="568723F9" w14:textId="54018229" w:rsidR="008F2A15" w:rsidRDefault="008F2A15" w:rsidP="007D552C">
      <w:pPr>
        <w:rPr>
          <w:rFonts w:cs="Calibri Light"/>
          <w:lang w:val="sq-AL"/>
        </w:rPr>
      </w:pPr>
    </w:p>
    <w:p w14:paraId="79162F78" w14:textId="0C76CA51" w:rsidR="008F2A15" w:rsidRPr="008F2A15" w:rsidRDefault="008F2A15" w:rsidP="008F2A15">
      <w:pPr>
        <w:rPr>
          <w:lang w:val="sq-AL"/>
        </w:rPr>
      </w:pPr>
      <w:r w:rsidRPr="008F2A15">
        <w:rPr>
          <w:lang w:val="sq-AL"/>
        </w:rPr>
        <w:t>Bazuar në analizën e problemeve kr</w:t>
      </w:r>
      <w:r>
        <w:rPr>
          <w:lang w:val="sq-AL"/>
        </w:rPr>
        <w:t>yesore</w:t>
      </w:r>
      <w:r w:rsidRPr="008F2A15">
        <w:rPr>
          <w:lang w:val="sq-AL"/>
        </w:rPr>
        <w:t xml:space="preserve"> dhe shkaqeve të tyre në secilën fushë prioritare të Strategjisë, rekomandimet e mëposhtme </w:t>
      </w:r>
      <w:r w:rsidR="008D2009">
        <w:rPr>
          <w:lang w:val="sq-AL"/>
        </w:rPr>
        <w:t xml:space="preserve">do të </w:t>
      </w:r>
      <w:r w:rsidR="008D2009" w:rsidRPr="008F2A15">
        <w:rPr>
          <w:lang w:val="sq-AL"/>
        </w:rPr>
        <w:t>mund të formulohe</w:t>
      </w:r>
      <w:r w:rsidR="008D2009">
        <w:rPr>
          <w:lang w:val="sq-AL"/>
        </w:rPr>
        <w:t>shin</w:t>
      </w:r>
      <w:r w:rsidR="008D2009" w:rsidRPr="008F2A15">
        <w:rPr>
          <w:lang w:val="sq-AL"/>
        </w:rPr>
        <w:t xml:space="preserve"> </w:t>
      </w:r>
      <w:r w:rsidRPr="008F2A15">
        <w:rPr>
          <w:lang w:val="sq-AL"/>
        </w:rPr>
        <w:t>për çdo objektiv</w:t>
      </w:r>
      <w:r w:rsidR="008D2009">
        <w:rPr>
          <w:lang w:val="sq-AL"/>
        </w:rPr>
        <w:t>ë</w:t>
      </w:r>
      <w:r w:rsidRPr="008F2A15">
        <w:rPr>
          <w:lang w:val="sq-AL"/>
        </w:rPr>
        <w:t xml:space="preserve"> strategjik</w:t>
      </w:r>
      <w:r w:rsidR="008D2009">
        <w:rPr>
          <w:lang w:val="sq-AL"/>
        </w:rPr>
        <w:t>e</w:t>
      </w:r>
      <w:r w:rsidRPr="008F2A15">
        <w:rPr>
          <w:lang w:val="sq-AL"/>
        </w:rPr>
        <w:t>:</w:t>
      </w:r>
    </w:p>
    <w:p w14:paraId="1967ED79" w14:textId="56480996" w:rsidR="008D2009" w:rsidRPr="007310FD" w:rsidRDefault="008D2009" w:rsidP="008D2009">
      <w:pPr>
        <w:rPr>
          <w:b/>
          <w:lang w:val="en-US"/>
        </w:rPr>
      </w:pPr>
      <w:r>
        <w:rPr>
          <w:b/>
          <w:lang w:val="en-US"/>
        </w:rPr>
        <w:t>Objektivi Strategjik</w:t>
      </w:r>
      <w:r w:rsidRPr="007310FD">
        <w:rPr>
          <w:b/>
          <w:lang w:val="en-US"/>
        </w:rPr>
        <w:t xml:space="preserve"> 1 </w:t>
      </w:r>
    </w:p>
    <w:p w14:paraId="642E88A0" w14:textId="4D03AD88" w:rsidR="008D2009" w:rsidRPr="008D2009" w:rsidRDefault="008D2009" w:rsidP="008D2009">
      <w:pPr>
        <w:pStyle w:val="ListParagraph"/>
        <w:numPr>
          <w:ilvl w:val="0"/>
          <w:numId w:val="28"/>
        </w:numPr>
        <w:rPr>
          <w:lang w:val="en-US"/>
        </w:rPr>
      </w:pPr>
      <w:r w:rsidRPr="008D2009">
        <w:rPr>
          <w:lang w:val="en-US"/>
        </w:rPr>
        <w:t>Duhen investime të mëtejshme në ngritjen e kapaciteteve të ZKM-ZQM për koordinim më të mirë të zbatimit të Rregullores për Standardet Minimale për Konsultime Publike.</w:t>
      </w:r>
    </w:p>
    <w:p w14:paraId="683C518B" w14:textId="059F8ADB" w:rsidR="008D2009" w:rsidRPr="008D2009" w:rsidRDefault="008D2009" w:rsidP="008D2009">
      <w:pPr>
        <w:pStyle w:val="ListParagraph"/>
        <w:numPr>
          <w:ilvl w:val="0"/>
          <w:numId w:val="28"/>
        </w:numPr>
        <w:rPr>
          <w:lang w:val="en-US"/>
        </w:rPr>
      </w:pPr>
      <w:r w:rsidRPr="008D2009">
        <w:rPr>
          <w:lang w:val="en-US"/>
        </w:rPr>
        <w:lastRenderedPageBreak/>
        <w:t>ZQM duhet të jetë më aktive dhe efektive në menaxhimin dhe mirëmbajtjen e Platformës Online për të shmangur çdo problem teknik të përdoruesve që nuk kanë mundësi të qasen në dokumente për konsultime publike.</w:t>
      </w:r>
    </w:p>
    <w:p w14:paraId="6D111F27" w14:textId="43E318EA" w:rsidR="008D2009" w:rsidRPr="008D2009" w:rsidRDefault="008D2009" w:rsidP="008D2009">
      <w:pPr>
        <w:pStyle w:val="ListParagraph"/>
        <w:numPr>
          <w:ilvl w:val="0"/>
          <w:numId w:val="28"/>
        </w:numPr>
        <w:rPr>
          <w:lang w:val="en-US"/>
        </w:rPr>
      </w:pPr>
      <w:r w:rsidRPr="008D2009">
        <w:rPr>
          <w:lang w:val="en-US"/>
        </w:rPr>
        <w:t>Duhet të organizohen më shumë trajnime për ngritjen e kapaciteteve të shërbyesve civilë në përdorimin e Rregullores për Standardet Minimale.</w:t>
      </w:r>
    </w:p>
    <w:p w14:paraId="509E951F" w14:textId="24DEF7E8" w:rsidR="008D2009" w:rsidRDefault="008D2009" w:rsidP="008D2009">
      <w:pPr>
        <w:pStyle w:val="ListParagraph"/>
        <w:numPr>
          <w:ilvl w:val="0"/>
          <w:numId w:val="28"/>
        </w:numPr>
        <w:rPr>
          <w:lang w:val="en-US"/>
        </w:rPr>
      </w:pPr>
      <w:r w:rsidRPr="008D2009">
        <w:rPr>
          <w:lang w:val="en-US"/>
        </w:rPr>
        <w:t>Ministritë duhet të bashkëpunojnë më shumë dhe të ndajnë informacionin me përgjegjësi në lidhje me zbatimin e Rregullores për Standardet Minimale.</w:t>
      </w:r>
    </w:p>
    <w:p w14:paraId="078DEA19" w14:textId="55ADA1CC" w:rsidR="008D2009" w:rsidRPr="008D2009" w:rsidRDefault="008D2009" w:rsidP="008D2009">
      <w:pPr>
        <w:pStyle w:val="ListParagraph"/>
        <w:numPr>
          <w:ilvl w:val="0"/>
          <w:numId w:val="28"/>
        </w:numPr>
        <w:rPr>
          <w:lang w:val="en-US"/>
        </w:rPr>
      </w:pPr>
      <w:r w:rsidRPr="008D2009">
        <w:rPr>
          <w:lang w:val="en-US"/>
        </w:rPr>
        <w:t xml:space="preserve">Duhet të </w:t>
      </w:r>
      <w:r>
        <w:rPr>
          <w:lang w:val="en-US"/>
        </w:rPr>
        <w:t>krijohet</w:t>
      </w:r>
      <w:r w:rsidRPr="008D2009">
        <w:rPr>
          <w:lang w:val="en-US"/>
        </w:rPr>
        <w:t xml:space="preserve"> një sistem i qëndrueshëm për zhvillimin e kapaciteteve të nëpunësve civilë në fushën e konsultimeve publike.</w:t>
      </w:r>
    </w:p>
    <w:p w14:paraId="6A5A84D1" w14:textId="5C0037AA" w:rsidR="008D2009" w:rsidRPr="008D2009" w:rsidRDefault="008D2009" w:rsidP="008D2009">
      <w:pPr>
        <w:pStyle w:val="ListParagraph"/>
        <w:numPr>
          <w:ilvl w:val="0"/>
          <w:numId w:val="28"/>
        </w:numPr>
        <w:rPr>
          <w:lang w:val="en-US"/>
        </w:rPr>
      </w:pPr>
      <w:r w:rsidRPr="008D2009">
        <w:rPr>
          <w:lang w:val="en-US"/>
        </w:rPr>
        <w:t xml:space="preserve">Shteti duhet të jetë më i përgjegjshëm dhe t'i ofrojë OSHC-ve </w:t>
      </w:r>
      <w:r>
        <w:rPr>
          <w:lang w:val="en-US"/>
        </w:rPr>
        <w:t xml:space="preserve">përgjigje </w:t>
      </w:r>
      <w:r w:rsidRPr="008D2009">
        <w:rPr>
          <w:lang w:val="en-US"/>
        </w:rPr>
        <w:t>kuptimplot</w:t>
      </w:r>
      <w:r>
        <w:rPr>
          <w:lang w:val="en-US"/>
        </w:rPr>
        <w:t>ë</w:t>
      </w:r>
      <w:r w:rsidRPr="008D2009">
        <w:rPr>
          <w:lang w:val="en-US"/>
        </w:rPr>
        <w:t xml:space="preserve"> për kontributin e tyre në procesin e hartimit të politikave.</w:t>
      </w:r>
    </w:p>
    <w:p w14:paraId="2DA6278F" w14:textId="3A0C4243" w:rsidR="008D2009" w:rsidRPr="008D2009" w:rsidRDefault="008D2009" w:rsidP="008D2009">
      <w:pPr>
        <w:pStyle w:val="ListParagraph"/>
        <w:numPr>
          <w:ilvl w:val="0"/>
          <w:numId w:val="28"/>
        </w:numPr>
        <w:rPr>
          <w:lang w:val="en-US"/>
        </w:rPr>
      </w:pPr>
      <w:r w:rsidRPr="008D2009">
        <w:rPr>
          <w:lang w:val="en-US"/>
        </w:rPr>
        <w:t>Duhen bërë përpjekje të mëtejshme në organizimin e fushatave të informimit publik për të rritur ndërgjegjësimin e publikut për standardet, metodat dhe përfitimet nga konsultimet publike.</w:t>
      </w:r>
    </w:p>
    <w:p w14:paraId="67F507B8" w14:textId="64D52B50" w:rsidR="008D2009" w:rsidRDefault="008D2009" w:rsidP="008D2009">
      <w:pPr>
        <w:pStyle w:val="ListParagraph"/>
        <w:numPr>
          <w:ilvl w:val="0"/>
          <w:numId w:val="28"/>
        </w:numPr>
        <w:rPr>
          <w:lang w:val="en-US"/>
        </w:rPr>
      </w:pPr>
      <w:r w:rsidRPr="008D2009">
        <w:rPr>
          <w:lang w:val="en-US"/>
        </w:rPr>
        <w:t>OSHC-të duhet të investojnë më tej në ndërtimin e kapaciteteve të tyre në fushën e hartimit të politikave në mënyrë që ato të jenë më të përgatitur</w:t>
      </w:r>
      <w:r>
        <w:rPr>
          <w:lang w:val="en-US"/>
        </w:rPr>
        <w:t>a</w:t>
      </w:r>
      <w:r w:rsidRPr="008D2009">
        <w:rPr>
          <w:lang w:val="en-US"/>
        </w:rPr>
        <w:t xml:space="preserve"> për të kontribuar në hartimin e politikave publike.</w:t>
      </w:r>
    </w:p>
    <w:p w14:paraId="7A176710" w14:textId="7C717451" w:rsidR="008D2009" w:rsidRPr="008D2009" w:rsidRDefault="008D2009" w:rsidP="008D2009">
      <w:pPr>
        <w:pStyle w:val="ListParagraph"/>
        <w:numPr>
          <w:ilvl w:val="0"/>
          <w:numId w:val="28"/>
        </w:numPr>
        <w:rPr>
          <w:lang w:val="en-US"/>
        </w:rPr>
      </w:pPr>
      <w:r w:rsidRPr="008D2009">
        <w:rPr>
          <w:lang w:val="en-US"/>
        </w:rPr>
        <w:t>Institucionet përgjegjëse dhe palët e tjera të interesit duhet të zhvillojnë skema grantesh për programet e OSHC-ve të fokusuara në krijimin e programeve të reja të trajnimit për rritjen e kapaciteteve të OSHC-ve në fushën e hartimit të politikave.</w:t>
      </w:r>
    </w:p>
    <w:p w14:paraId="6ED9D1C3" w14:textId="585645EE" w:rsidR="008D2009" w:rsidRPr="008D2009" w:rsidRDefault="008D2009" w:rsidP="008D2009">
      <w:pPr>
        <w:pStyle w:val="ListParagraph"/>
        <w:numPr>
          <w:ilvl w:val="0"/>
          <w:numId w:val="28"/>
        </w:numPr>
        <w:rPr>
          <w:lang w:val="en-US"/>
        </w:rPr>
      </w:pPr>
      <w:r w:rsidRPr="008D2009">
        <w:rPr>
          <w:lang w:val="en-US"/>
        </w:rPr>
        <w:t>OShC-të duhet të rrjetëzo</w:t>
      </w:r>
      <w:r>
        <w:rPr>
          <w:lang w:val="en-US"/>
        </w:rPr>
        <w:t>hen</w:t>
      </w:r>
      <w:r w:rsidRPr="008D2009">
        <w:rPr>
          <w:lang w:val="en-US"/>
        </w:rPr>
        <w:t xml:space="preserve"> më shumë dhe të krijojnë forume të përbashkëta tematike dhe iniciativa për çështje specifike për t'i ndihmuar ata të bëhen një zë më i fortë në procesin e </w:t>
      </w:r>
      <w:r>
        <w:rPr>
          <w:lang w:val="en-US"/>
        </w:rPr>
        <w:t>berjes s</w:t>
      </w:r>
      <w:r w:rsidRPr="008D2009">
        <w:rPr>
          <w:lang w:val="en-US"/>
        </w:rPr>
        <w:t>ë politikave.</w:t>
      </w:r>
    </w:p>
    <w:p w14:paraId="7004E034" w14:textId="5D0E8146" w:rsidR="008D2009" w:rsidRDefault="008D2009" w:rsidP="008D2009">
      <w:pPr>
        <w:pStyle w:val="ListParagraph"/>
        <w:numPr>
          <w:ilvl w:val="0"/>
          <w:numId w:val="28"/>
        </w:numPr>
        <w:rPr>
          <w:lang w:val="en-US"/>
        </w:rPr>
      </w:pPr>
      <w:r w:rsidRPr="008D2009">
        <w:rPr>
          <w:lang w:val="en-US"/>
        </w:rPr>
        <w:t xml:space="preserve">Duhet të krijohen metoda të ndryshme të konsultimeve publike të OSHC-ve në mënyrë që të </w:t>
      </w:r>
      <w:r>
        <w:rPr>
          <w:lang w:val="en-US"/>
        </w:rPr>
        <w:t>mundësohet një</w:t>
      </w:r>
      <w:r w:rsidRPr="008D2009">
        <w:rPr>
          <w:lang w:val="en-US"/>
        </w:rPr>
        <w:t xml:space="preserve"> </w:t>
      </w:r>
      <w:r>
        <w:rPr>
          <w:lang w:val="en-US"/>
        </w:rPr>
        <w:t>spe</w:t>
      </w:r>
      <w:r w:rsidR="00107BB3">
        <w:rPr>
          <w:lang w:val="en-US"/>
        </w:rPr>
        <w:t>k</w:t>
      </w:r>
      <w:r>
        <w:rPr>
          <w:lang w:val="en-US"/>
        </w:rPr>
        <w:t xml:space="preserve">ter </w:t>
      </w:r>
      <w:r w:rsidRPr="008D2009">
        <w:rPr>
          <w:lang w:val="en-US"/>
        </w:rPr>
        <w:t xml:space="preserve">më </w:t>
      </w:r>
      <w:r>
        <w:rPr>
          <w:lang w:val="en-US"/>
        </w:rPr>
        <w:t>i</w:t>
      </w:r>
      <w:r w:rsidRPr="008D2009">
        <w:rPr>
          <w:lang w:val="en-US"/>
        </w:rPr>
        <w:t xml:space="preserve"> gjerë </w:t>
      </w:r>
      <w:r w:rsidR="00107BB3">
        <w:rPr>
          <w:lang w:val="en-US"/>
        </w:rPr>
        <w:t>i</w:t>
      </w:r>
      <w:r w:rsidRPr="008D2009">
        <w:rPr>
          <w:lang w:val="en-US"/>
        </w:rPr>
        <w:t xml:space="preserve"> OSHC-ve nga pjesë të ndryshme të vendit </w:t>
      </w:r>
      <w:r w:rsidR="00107BB3">
        <w:rPr>
          <w:lang w:val="en-US"/>
        </w:rPr>
        <w:t xml:space="preserve">që </w:t>
      </w:r>
      <w:r w:rsidRPr="008D2009">
        <w:rPr>
          <w:lang w:val="en-US"/>
        </w:rPr>
        <w:t>të dëgjo</w:t>
      </w:r>
      <w:r w:rsidR="00107BB3">
        <w:rPr>
          <w:lang w:val="en-US"/>
        </w:rPr>
        <w:t>het</w:t>
      </w:r>
      <w:r w:rsidRPr="008D2009">
        <w:rPr>
          <w:lang w:val="en-US"/>
        </w:rPr>
        <w:t xml:space="preserve"> zëri</w:t>
      </w:r>
      <w:r w:rsidR="00107BB3">
        <w:rPr>
          <w:lang w:val="en-US"/>
        </w:rPr>
        <w:t xml:space="preserve"> i</w:t>
      </w:r>
      <w:r w:rsidRPr="008D2009">
        <w:rPr>
          <w:lang w:val="en-US"/>
        </w:rPr>
        <w:t xml:space="preserve"> tyre në proceset e bërjes së politikave</w:t>
      </w:r>
    </w:p>
    <w:p w14:paraId="14E4D558" w14:textId="77777777" w:rsidR="008D2009" w:rsidRPr="00F170CC" w:rsidRDefault="008D2009" w:rsidP="008D2009">
      <w:pPr>
        <w:rPr>
          <w:lang w:val="en-US"/>
        </w:rPr>
      </w:pPr>
    </w:p>
    <w:p w14:paraId="29D93A8E" w14:textId="49CDD405" w:rsidR="008D2009" w:rsidRPr="007310FD" w:rsidRDefault="008D2009" w:rsidP="008D2009">
      <w:pPr>
        <w:rPr>
          <w:b/>
          <w:lang w:val="en-US"/>
        </w:rPr>
      </w:pPr>
      <w:r>
        <w:rPr>
          <w:b/>
          <w:lang w:val="en-US"/>
        </w:rPr>
        <w:t>Objektivi Strategjik</w:t>
      </w:r>
      <w:r w:rsidRPr="007310FD">
        <w:rPr>
          <w:b/>
          <w:lang w:val="en-US"/>
        </w:rPr>
        <w:t xml:space="preserve"> 2</w:t>
      </w:r>
    </w:p>
    <w:p w14:paraId="5BEC151B" w14:textId="007CF5A8" w:rsidR="00F72A04" w:rsidRPr="00F72A04" w:rsidRDefault="00F72A04" w:rsidP="00F72A04">
      <w:pPr>
        <w:pStyle w:val="ListParagraph"/>
        <w:numPr>
          <w:ilvl w:val="0"/>
          <w:numId w:val="29"/>
        </w:numPr>
        <w:rPr>
          <w:lang w:val="en-US"/>
        </w:rPr>
      </w:pPr>
      <w:r w:rsidRPr="00F72A04">
        <w:rPr>
          <w:lang w:val="en-US"/>
        </w:rPr>
        <w:t xml:space="preserve"> Duhen bërë përpjekje të mëtejshme për ofrimin e programeve të trajnimit dhe aktiviteteve ndërgjegjësuese për Ministrinë dhe Zyrtarët Komunal në fushën e kontraktimit të OSHC-ve për </w:t>
      </w:r>
      <w:r>
        <w:rPr>
          <w:lang w:val="en-US"/>
        </w:rPr>
        <w:t>ofrim të</w:t>
      </w:r>
      <w:r w:rsidRPr="00F72A04">
        <w:rPr>
          <w:lang w:val="en-US"/>
        </w:rPr>
        <w:t xml:space="preserve"> shërbim</w:t>
      </w:r>
      <w:r>
        <w:rPr>
          <w:lang w:val="en-US"/>
        </w:rPr>
        <w:t>eve</w:t>
      </w:r>
      <w:r w:rsidRPr="00F72A04">
        <w:rPr>
          <w:lang w:val="en-US"/>
        </w:rPr>
        <w:t>.</w:t>
      </w:r>
    </w:p>
    <w:p w14:paraId="0AF29CE8" w14:textId="536F276C" w:rsidR="00F72A04" w:rsidRPr="00F72A04" w:rsidRDefault="00F72A04" w:rsidP="00F72A04">
      <w:pPr>
        <w:pStyle w:val="ListParagraph"/>
        <w:numPr>
          <w:ilvl w:val="0"/>
          <w:numId w:val="29"/>
        </w:numPr>
        <w:rPr>
          <w:lang w:val="en-US"/>
        </w:rPr>
      </w:pPr>
      <w:r w:rsidRPr="00F72A04">
        <w:rPr>
          <w:lang w:val="en-US"/>
        </w:rPr>
        <w:t xml:space="preserve">Ministritë duhet të koordinojnë aktivitetet për bashkëpunim potencial dhe </w:t>
      </w:r>
      <w:r>
        <w:rPr>
          <w:lang w:val="en-US"/>
        </w:rPr>
        <w:t>për</w:t>
      </w:r>
      <w:r w:rsidRPr="00F72A04">
        <w:rPr>
          <w:lang w:val="en-US"/>
        </w:rPr>
        <w:t>fitimet reciproke mund të lindin si rezultat i qasjes së përbashkët dhe strategjike të programimit dhe ofrimit të shërbimeve kontraktuese nga OSHC-të.</w:t>
      </w:r>
    </w:p>
    <w:p w14:paraId="187A1992" w14:textId="585EB875" w:rsidR="00F72A04" w:rsidRPr="00F72A04" w:rsidRDefault="00F72A04" w:rsidP="00F72A04">
      <w:pPr>
        <w:pStyle w:val="ListParagraph"/>
        <w:numPr>
          <w:ilvl w:val="0"/>
          <w:numId w:val="29"/>
        </w:numPr>
        <w:rPr>
          <w:lang w:val="en-US"/>
        </w:rPr>
      </w:pPr>
      <w:r w:rsidRPr="00F72A04">
        <w:rPr>
          <w:lang w:val="en-US"/>
        </w:rPr>
        <w:t>Shteti duhet të përcaktojë qartë organin kompetent të Ministrisë ose qeverisë</w:t>
      </w:r>
      <w:r>
        <w:rPr>
          <w:lang w:val="en-US"/>
        </w:rPr>
        <w:t>,</w:t>
      </w:r>
      <w:r w:rsidRPr="00F72A04">
        <w:rPr>
          <w:lang w:val="en-US"/>
        </w:rPr>
        <w:t xml:space="preserve"> përgjegjëse për koordinimin e procesit të kontraktimit të OSHC-ve për </w:t>
      </w:r>
      <w:r>
        <w:rPr>
          <w:lang w:val="en-US"/>
        </w:rPr>
        <w:t>ofrimin</w:t>
      </w:r>
      <w:r w:rsidRPr="00F72A04">
        <w:rPr>
          <w:lang w:val="en-US"/>
        </w:rPr>
        <w:t xml:space="preserve"> e shërbim</w:t>
      </w:r>
      <w:r>
        <w:rPr>
          <w:lang w:val="en-US"/>
        </w:rPr>
        <w:t>eve</w:t>
      </w:r>
      <w:r w:rsidRPr="00F72A04">
        <w:rPr>
          <w:lang w:val="en-US"/>
        </w:rPr>
        <w:t>.</w:t>
      </w:r>
    </w:p>
    <w:p w14:paraId="53B19598" w14:textId="7C16996F" w:rsidR="00F72A04" w:rsidRDefault="00F72A04" w:rsidP="00F72A04">
      <w:pPr>
        <w:pStyle w:val="ListParagraph"/>
        <w:numPr>
          <w:ilvl w:val="0"/>
          <w:numId w:val="29"/>
        </w:numPr>
        <w:rPr>
          <w:lang w:val="en-US"/>
        </w:rPr>
      </w:pPr>
      <w:r w:rsidRPr="00F72A04">
        <w:rPr>
          <w:lang w:val="en-US"/>
        </w:rPr>
        <w:t xml:space="preserve">Ministritë dhe </w:t>
      </w:r>
      <w:r>
        <w:rPr>
          <w:lang w:val="en-US"/>
        </w:rPr>
        <w:t>K</w:t>
      </w:r>
      <w:r w:rsidRPr="00F72A04">
        <w:rPr>
          <w:lang w:val="en-US"/>
        </w:rPr>
        <w:t xml:space="preserve">omunat duhet të bëjnë vlerësime të nevojave si bazë për përcaktimin e prioriteteve për dhënien e </w:t>
      </w:r>
      <w:r>
        <w:rPr>
          <w:lang w:val="en-US"/>
        </w:rPr>
        <w:t xml:space="preserve">mundësisë </w:t>
      </w:r>
      <w:r w:rsidRPr="00F72A04">
        <w:rPr>
          <w:lang w:val="en-US"/>
        </w:rPr>
        <w:t>OShC-</w:t>
      </w:r>
      <w:r>
        <w:rPr>
          <w:lang w:val="en-US"/>
        </w:rPr>
        <w:t>ve</w:t>
      </w:r>
      <w:r w:rsidRPr="00F72A04">
        <w:rPr>
          <w:lang w:val="en-US"/>
        </w:rPr>
        <w:t xml:space="preserve"> për ofrimin e shërbimeve.</w:t>
      </w:r>
    </w:p>
    <w:p w14:paraId="6F827000" w14:textId="0F0C25EE" w:rsidR="00F72A04" w:rsidRPr="00F72A04" w:rsidRDefault="00F72A04" w:rsidP="00F72A04">
      <w:pPr>
        <w:pStyle w:val="ListParagraph"/>
        <w:numPr>
          <w:ilvl w:val="0"/>
          <w:numId w:val="29"/>
        </w:numPr>
        <w:rPr>
          <w:lang w:val="en-US"/>
        </w:rPr>
      </w:pPr>
      <w:r w:rsidRPr="00F72A04">
        <w:rPr>
          <w:lang w:val="en-US"/>
        </w:rPr>
        <w:t xml:space="preserve">Shteti duhet të krijojë një bazë të të dhënave me të gjithë informacionin e nevojshëm për OSHC-të që ofrojnë shërbime publike dhe OShC-të </w:t>
      </w:r>
      <w:r>
        <w:rPr>
          <w:lang w:val="en-US"/>
        </w:rPr>
        <w:t xml:space="preserve">potenciale </w:t>
      </w:r>
      <w:r w:rsidRPr="00F72A04">
        <w:rPr>
          <w:lang w:val="en-US"/>
        </w:rPr>
        <w:t>që mund të bëhen ofrues të shërbimeve publike.</w:t>
      </w:r>
    </w:p>
    <w:p w14:paraId="7A0F9E5E" w14:textId="4AC67548" w:rsidR="00F72A04" w:rsidRPr="00F72A04" w:rsidRDefault="00F72A04" w:rsidP="00F72A04">
      <w:pPr>
        <w:pStyle w:val="ListParagraph"/>
        <w:numPr>
          <w:ilvl w:val="0"/>
          <w:numId w:val="29"/>
        </w:numPr>
        <w:rPr>
          <w:lang w:val="en-US"/>
        </w:rPr>
      </w:pPr>
      <w:r w:rsidRPr="00F72A04">
        <w:rPr>
          <w:lang w:val="en-US"/>
        </w:rPr>
        <w:t>Duhen investime të mëtejshme në hartimin e një sistemi për monitorimin e punës së OSHC-ve që ofrojnë shërbime publike.</w:t>
      </w:r>
    </w:p>
    <w:p w14:paraId="66E0EA39" w14:textId="302AA8C8" w:rsidR="00F72A04" w:rsidRDefault="00F72A04" w:rsidP="00F72A04">
      <w:pPr>
        <w:pStyle w:val="ListParagraph"/>
        <w:numPr>
          <w:ilvl w:val="0"/>
          <w:numId w:val="29"/>
        </w:numPr>
        <w:rPr>
          <w:lang w:val="en-US"/>
        </w:rPr>
      </w:pPr>
      <w:r w:rsidRPr="00F72A04">
        <w:rPr>
          <w:lang w:val="en-US"/>
        </w:rPr>
        <w:t xml:space="preserve">Duhen investime të mëtejshme për hartimin dhe zbatimin e standardeve dhe procedurave të kontraktimit të OSHC-ve për </w:t>
      </w:r>
      <w:r>
        <w:rPr>
          <w:lang w:val="en-US"/>
        </w:rPr>
        <w:t>ofrimin</w:t>
      </w:r>
      <w:r w:rsidRPr="00F72A04">
        <w:rPr>
          <w:lang w:val="en-US"/>
        </w:rPr>
        <w:t xml:space="preserve"> e shërbim</w:t>
      </w:r>
      <w:r>
        <w:rPr>
          <w:lang w:val="en-US"/>
        </w:rPr>
        <w:t>eve</w:t>
      </w:r>
      <w:r w:rsidRPr="00F72A04">
        <w:rPr>
          <w:lang w:val="en-US"/>
        </w:rPr>
        <w:t>.</w:t>
      </w:r>
    </w:p>
    <w:p w14:paraId="1158C7EC" w14:textId="77777777" w:rsidR="00F72A04" w:rsidRDefault="00F72A04" w:rsidP="00F72A04">
      <w:pPr>
        <w:pStyle w:val="ListParagraph"/>
        <w:rPr>
          <w:lang w:val="en-US"/>
        </w:rPr>
      </w:pPr>
    </w:p>
    <w:p w14:paraId="4F89D8F4" w14:textId="0A788A5A" w:rsidR="008D2009" w:rsidRPr="007310FD" w:rsidRDefault="008D2009" w:rsidP="008D2009">
      <w:pPr>
        <w:rPr>
          <w:b/>
          <w:lang w:val="en-US"/>
        </w:rPr>
      </w:pPr>
      <w:r>
        <w:rPr>
          <w:b/>
          <w:lang w:val="en-US"/>
        </w:rPr>
        <w:t>Objektivi Strategjik</w:t>
      </w:r>
      <w:r w:rsidRPr="007310FD">
        <w:rPr>
          <w:b/>
          <w:lang w:val="en-US"/>
        </w:rPr>
        <w:t xml:space="preserve"> 3</w:t>
      </w:r>
    </w:p>
    <w:p w14:paraId="59D8F3B6" w14:textId="21695C0F" w:rsidR="00AC2D66" w:rsidRPr="00AC2D66" w:rsidRDefault="00AC2D66" w:rsidP="00AC2D66">
      <w:pPr>
        <w:pStyle w:val="ListParagraph"/>
        <w:numPr>
          <w:ilvl w:val="0"/>
          <w:numId w:val="30"/>
        </w:numPr>
        <w:rPr>
          <w:lang w:val="en-US"/>
        </w:rPr>
      </w:pPr>
      <w:r w:rsidRPr="00AC2D66">
        <w:rPr>
          <w:lang w:val="en-US"/>
        </w:rPr>
        <w:t xml:space="preserve">Duhet të organizohen aktivitete të mëtejshme të ndërtimit të kapaciteteve për të ndihmuar ministritë dhe komunat të </w:t>
      </w:r>
      <w:r>
        <w:rPr>
          <w:lang w:val="en-US"/>
        </w:rPr>
        <w:t xml:space="preserve">kuptojnë </w:t>
      </w:r>
      <w:r w:rsidRPr="00AC2D66">
        <w:rPr>
          <w:lang w:val="en-US"/>
        </w:rPr>
        <w:t>forma të ndryshme të financimit të shoqërisë civile.</w:t>
      </w:r>
    </w:p>
    <w:p w14:paraId="730A76C3" w14:textId="6CC303CC" w:rsidR="00AC2D66" w:rsidRPr="00AC2D66" w:rsidRDefault="00AC2D66" w:rsidP="00AC2D66">
      <w:pPr>
        <w:pStyle w:val="ListParagraph"/>
        <w:numPr>
          <w:ilvl w:val="0"/>
          <w:numId w:val="30"/>
        </w:numPr>
        <w:rPr>
          <w:lang w:val="en-US"/>
        </w:rPr>
      </w:pPr>
      <w:r w:rsidRPr="00AC2D66">
        <w:rPr>
          <w:lang w:val="en-US"/>
        </w:rPr>
        <w:t>Shteti duhet të zhvillojë një program trajnimi për të futur Ministritë dhe Komunat me standardet, kriteret dhe procedurat e financimit të programeve të OSHC-ve.</w:t>
      </w:r>
    </w:p>
    <w:p w14:paraId="737B1B63" w14:textId="52FE0448" w:rsidR="00AC2D66" w:rsidRPr="00AC2D66" w:rsidRDefault="00E65669" w:rsidP="00AC2D66">
      <w:pPr>
        <w:pStyle w:val="ListParagraph"/>
        <w:numPr>
          <w:ilvl w:val="0"/>
          <w:numId w:val="30"/>
        </w:numPr>
        <w:rPr>
          <w:lang w:val="en-US"/>
        </w:rPr>
      </w:pPr>
      <w:r>
        <w:rPr>
          <w:lang w:val="en-US"/>
        </w:rPr>
        <w:t>D</w:t>
      </w:r>
      <w:r w:rsidRPr="00AC2D66">
        <w:rPr>
          <w:lang w:val="en-US"/>
        </w:rPr>
        <w:t xml:space="preserve">uhet të rregullohet </w:t>
      </w:r>
      <w:r>
        <w:rPr>
          <w:lang w:val="en-US"/>
        </w:rPr>
        <w:t>një k</w:t>
      </w:r>
      <w:r w:rsidR="00AC2D66" w:rsidRPr="00AC2D66">
        <w:rPr>
          <w:lang w:val="en-US"/>
        </w:rPr>
        <w:t>oordinim dhe planifikimi më i mirë mes ministrive dhe komunave sa i përket financimit të projekteve të OSHC-ve.</w:t>
      </w:r>
    </w:p>
    <w:p w14:paraId="54D68B3E" w14:textId="1CF28A1F" w:rsidR="00AC2D66" w:rsidRPr="00AC2D66" w:rsidRDefault="00AC2D66" w:rsidP="00AC2D66">
      <w:pPr>
        <w:pStyle w:val="ListParagraph"/>
        <w:numPr>
          <w:ilvl w:val="0"/>
          <w:numId w:val="30"/>
        </w:numPr>
        <w:rPr>
          <w:lang w:val="en-US"/>
        </w:rPr>
      </w:pPr>
      <w:r w:rsidRPr="00AC2D66">
        <w:rPr>
          <w:lang w:val="en-US"/>
        </w:rPr>
        <w:lastRenderedPageBreak/>
        <w:t>Ministritë dhe komunat duhet të identifikojnë nevojat dhe sfidat në fushat ku OSHC-të mund të ofrojnë mbështetje.</w:t>
      </w:r>
    </w:p>
    <w:p w14:paraId="481B7613" w14:textId="5DA622D8" w:rsidR="00AC2D66" w:rsidRDefault="00AC2D66" w:rsidP="00AC2D66">
      <w:pPr>
        <w:pStyle w:val="ListParagraph"/>
        <w:numPr>
          <w:ilvl w:val="0"/>
          <w:numId w:val="30"/>
        </w:numPr>
        <w:rPr>
          <w:lang w:val="en-US"/>
        </w:rPr>
      </w:pPr>
      <w:r w:rsidRPr="00AC2D66">
        <w:rPr>
          <w:lang w:val="en-US"/>
        </w:rPr>
        <w:t>Shteti duhet të hartojë dhe zbatojë një sistem të harmonizuar të raportimit për OSHC-të për të raportuar mbi aktivitetet e tyre të cilat financohen nga qeveria.</w:t>
      </w:r>
    </w:p>
    <w:p w14:paraId="09BB2E14" w14:textId="1B066913" w:rsidR="00E65669" w:rsidRPr="00E65669" w:rsidRDefault="00E65669" w:rsidP="00E65669">
      <w:pPr>
        <w:pStyle w:val="ListParagraph"/>
        <w:numPr>
          <w:ilvl w:val="0"/>
          <w:numId w:val="30"/>
        </w:numPr>
        <w:rPr>
          <w:lang w:val="en-US"/>
        </w:rPr>
      </w:pPr>
      <w:r w:rsidRPr="00E65669">
        <w:rPr>
          <w:lang w:val="en-US"/>
        </w:rPr>
        <w:t xml:space="preserve">Ministria e Financave duhet të krijojë një sistem online për </w:t>
      </w:r>
      <w:r>
        <w:rPr>
          <w:lang w:val="en-US"/>
        </w:rPr>
        <w:t>publikimin</w:t>
      </w:r>
      <w:r w:rsidRPr="00E65669">
        <w:rPr>
          <w:lang w:val="en-US"/>
        </w:rPr>
        <w:t xml:space="preserve"> e informatave të hollësishme për sasinë e fondeve të </w:t>
      </w:r>
      <w:r>
        <w:rPr>
          <w:lang w:val="en-US"/>
        </w:rPr>
        <w:t>dhëna</w:t>
      </w:r>
      <w:r w:rsidRPr="00E65669">
        <w:rPr>
          <w:lang w:val="en-US"/>
        </w:rPr>
        <w:t xml:space="preserve"> </w:t>
      </w:r>
      <w:r>
        <w:rPr>
          <w:lang w:val="en-US"/>
        </w:rPr>
        <w:t>për</w:t>
      </w:r>
      <w:r w:rsidRPr="00E65669">
        <w:rPr>
          <w:lang w:val="en-US"/>
        </w:rPr>
        <w:t xml:space="preserve"> OSHC</w:t>
      </w:r>
      <w:r>
        <w:rPr>
          <w:lang w:val="en-US"/>
        </w:rPr>
        <w:t>-të</w:t>
      </w:r>
      <w:r w:rsidRPr="00E65669">
        <w:rPr>
          <w:lang w:val="en-US"/>
        </w:rPr>
        <w:t>.</w:t>
      </w:r>
    </w:p>
    <w:p w14:paraId="6CE36824" w14:textId="370C3305" w:rsidR="00E65669" w:rsidRPr="00E65669" w:rsidRDefault="00E65669" w:rsidP="00E65669">
      <w:pPr>
        <w:pStyle w:val="ListParagraph"/>
        <w:numPr>
          <w:ilvl w:val="0"/>
          <w:numId w:val="30"/>
        </w:numPr>
        <w:rPr>
          <w:lang w:val="en-US"/>
        </w:rPr>
      </w:pPr>
      <w:r w:rsidRPr="00E65669">
        <w:rPr>
          <w:lang w:val="en-US"/>
        </w:rPr>
        <w:t xml:space="preserve">Shteti duhet të </w:t>
      </w:r>
      <w:r>
        <w:rPr>
          <w:lang w:val="en-US"/>
        </w:rPr>
        <w:t>përfundojë</w:t>
      </w:r>
      <w:r w:rsidRPr="00E65669">
        <w:rPr>
          <w:lang w:val="en-US"/>
        </w:rPr>
        <w:t xml:space="preserve"> dhe konsolidojë kuadrin ligjor për përcaktimin dhe rregullimin e filantropisë.</w:t>
      </w:r>
    </w:p>
    <w:p w14:paraId="6B1F13BA" w14:textId="61D1D8A3" w:rsidR="00E65669" w:rsidRPr="00E65669" w:rsidRDefault="00E65669" w:rsidP="00E65669">
      <w:pPr>
        <w:pStyle w:val="ListParagraph"/>
        <w:numPr>
          <w:ilvl w:val="0"/>
          <w:numId w:val="30"/>
        </w:numPr>
        <w:rPr>
          <w:lang w:val="en-US"/>
        </w:rPr>
      </w:pPr>
      <w:r w:rsidRPr="00E65669">
        <w:rPr>
          <w:lang w:val="en-US"/>
        </w:rPr>
        <w:t>Zyrtarët e ta</w:t>
      </w:r>
      <w:r>
        <w:rPr>
          <w:lang w:val="en-US"/>
        </w:rPr>
        <w:t>timit</w:t>
      </w:r>
      <w:r w:rsidRPr="00E65669">
        <w:rPr>
          <w:lang w:val="en-US"/>
        </w:rPr>
        <w:t xml:space="preserve"> duhet të informohen dhe trajnohen në lidhje me praktikat vendore dhe ndërkombëtare të administrimit të përfitimeve tatimore për filantropi individuale dhe korporat</w:t>
      </w:r>
      <w:r>
        <w:rPr>
          <w:lang w:val="en-US"/>
        </w:rPr>
        <w:t>ive</w:t>
      </w:r>
      <w:r w:rsidRPr="00E65669">
        <w:rPr>
          <w:lang w:val="en-US"/>
        </w:rPr>
        <w:t>.</w:t>
      </w:r>
    </w:p>
    <w:p w14:paraId="58682708" w14:textId="0D74A6DF" w:rsidR="00AC2D66" w:rsidRDefault="00E65669" w:rsidP="00E65669">
      <w:pPr>
        <w:pStyle w:val="ListParagraph"/>
        <w:numPr>
          <w:ilvl w:val="0"/>
          <w:numId w:val="30"/>
        </w:numPr>
        <w:rPr>
          <w:lang w:val="en-US"/>
        </w:rPr>
      </w:pPr>
      <w:r w:rsidRPr="00E65669">
        <w:rPr>
          <w:lang w:val="en-US"/>
        </w:rPr>
        <w:t>Shteti duhet të ushtrojë një qasje më pozitive ndaj shoqërisë civile duke njohur aktivitetet bamirëse ose filantropike të shoqërisë civile.</w:t>
      </w:r>
    </w:p>
    <w:p w14:paraId="1631DD1B" w14:textId="5F37437B" w:rsidR="00E65669" w:rsidRPr="00E65669" w:rsidRDefault="00E65669" w:rsidP="00E65669">
      <w:pPr>
        <w:pStyle w:val="ListParagraph"/>
        <w:numPr>
          <w:ilvl w:val="0"/>
          <w:numId w:val="30"/>
        </w:numPr>
        <w:rPr>
          <w:lang w:val="en-US"/>
        </w:rPr>
      </w:pPr>
      <w:r w:rsidRPr="00E65669">
        <w:rPr>
          <w:lang w:val="en-US"/>
        </w:rPr>
        <w:t xml:space="preserve">Shteti duhet të kuptojë dhe njohë rolin e shoqërisë civile në zbatimin e programeve që janë me interes publik dhe </w:t>
      </w:r>
      <w:r>
        <w:rPr>
          <w:lang w:val="en-US"/>
        </w:rPr>
        <w:t>t</w:t>
      </w:r>
      <w:r w:rsidRPr="00E65669">
        <w:rPr>
          <w:lang w:val="en-US"/>
        </w:rPr>
        <w:t>ë kontribuojnë në zhvillimin e komunitetit lokal.</w:t>
      </w:r>
    </w:p>
    <w:p w14:paraId="11FC055E" w14:textId="32A25D99" w:rsidR="00E65669" w:rsidRPr="00E65669" w:rsidRDefault="00E65669" w:rsidP="00E65669">
      <w:pPr>
        <w:pStyle w:val="ListParagraph"/>
        <w:numPr>
          <w:ilvl w:val="0"/>
          <w:numId w:val="30"/>
        </w:numPr>
        <w:rPr>
          <w:lang w:val="de-DE"/>
        </w:rPr>
      </w:pPr>
      <w:r w:rsidRPr="00E65669">
        <w:rPr>
          <w:lang w:val="de-DE"/>
        </w:rPr>
        <w:t xml:space="preserve"> Duhen krijuar mekanizma për zhvillimin e filantropisë individuale dhe korporative.</w:t>
      </w:r>
    </w:p>
    <w:p w14:paraId="0C66A63E" w14:textId="556FF8A6" w:rsidR="00E65669" w:rsidRPr="00E65669" w:rsidRDefault="00E65669" w:rsidP="00E65669">
      <w:pPr>
        <w:pStyle w:val="ListParagraph"/>
        <w:numPr>
          <w:ilvl w:val="0"/>
          <w:numId w:val="30"/>
        </w:numPr>
        <w:rPr>
          <w:lang w:val="de-DE"/>
        </w:rPr>
      </w:pPr>
      <w:r w:rsidRPr="00E65669">
        <w:rPr>
          <w:lang w:val="de-DE"/>
        </w:rPr>
        <w:t xml:space="preserve">Duhen krijuar standardet, procedurat dhe kriteret për rregullimin e </w:t>
      </w:r>
      <w:r>
        <w:rPr>
          <w:lang w:val="de-DE"/>
        </w:rPr>
        <w:t>dhënies</w:t>
      </w:r>
      <w:r w:rsidRPr="00E65669">
        <w:rPr>
          <w:lang w:val="de-DE"/>
        </w:rPr>
        <w:t xml:space="preserve"> së pronës publike për përdorim nga OJQ-të, si dhe mekanizmat për zbatimin e standardeve të miratuara.</w:t>
      </w:r>
    </w:p>
    <w:p w14:paraId="590449C0" w14:textId="191BB110" w:rsidR="00E65669" w:rsidRPr="00E65669" w:rsidRDefault="00E65669" w:rsidP="00E65669">
      <w:pPr>
        <w:pStyle w:val="ListParagraph"/>
        <w:numPr>
          <w:ilvl w:val="0"/>
          <w:numId w:val="30"/>
        </w:numPr>
        <w:rPr>
          <w:lang w:val="de-DE"/>
        </w:rPr>
      </w:pPr>
      <w:r w:rsidRPr="00E65669">
        <w:rPr>
          <w:lang w:val="de-DE"/>
        </w:rPr>
        <w:t>Shteti duhet të konsolidojë kornizën e përgjithshme ligjore, përfshirë legjislacionin tatimor, në lidhje me aktivitetet ekonomike të OSHC-ve.</w:t>
      </w:r>
    </w:p>
    <w:p w14:paraId="54EB4B35" w14:textId="353976B2" w:rsidR="00E65669" w:rsidRPr="00E65669" w:rsidRDefault="00E65669" w:rsidP="00E65669">
      <w:pPr>
        <w:pStyle w:val="ListParagraph"/>
        <w:numPr>
          <w:ilvl w:val="0"/>
          <w:numId w:val="30"/>
        </w:numPr>
        <w:rPr>
          <w:lang w:val="de-DE"/>
        </w:rPr>
      </w:pPr>
      <w:r w:rsidRPr="00E65669">
        <w:rPr>
          <w:lang w:val="de-DE"/>
        </w:rPr>
        <w:t>Duhet të vendosen procedurat, kriteret dhe rregullat për të përcaktuar mekanizmat e bashkëfinancimit për projektet që mbështeten nga Bashkimi Evropian.</w:t>
      </w:r>
    </w:p>
    <w:p w14:paraId="002B0AED" w14:textId="77777777" w:rsidR="008D2009" w:rsidRPr="00E65669" w:rsidRDefault="008D2009" w:rsidP="008D2009">
      <w:pPr>
        <w:rPr>
          <w:lang w:val="de-DE"/>
        </w:rPr>
      </w:pPr>
    </w:p>
    <w:p w14:paraId="0E4EC772" w14:textId="00F88DC9" w:rsidR="008D2009" w:rsidRPr="007310FD" w:rsidRDefault="008D2009" w:rsidP="008D2009">
      <w:pPr>
        <w:rPr>
          <w:b/>
          <w:lang w:val="en-US"/>
        </w:rPr>
      </w:pPr>
      <w:r>
        <w:rPr>
          <w:b/>
          <w:lang w:val="en-US"/>
        </w:rPr>
        <w:t>Objektivi Strategjik</w:t>
      </w:r>
      <w:r w:rsidRPr="007310FD">
        <w:rPr>
          <w:b/>
          <w:lang w:val="en-US"/>
        </w:rPr>
        <w:t xml:space="preserve"> 4</w:t>
      </w:r>
    </w:p>
    <w:p w14:paraId="0F61D005" w14:textId="3C56A985" w:rsidR="00E65669" w:rsidRPr="00E65669" w:rsidRDefault="00E65669" w:rsidP="00E65669">
      <w:pPr>
        <w:pStyle w:val="ListParagraph"/>
        <w:numPr>
          <w:ilvl w:val="0"/>
          <w:numId w:val="31"/>
        </w:numPr>
        <w:rPr>
          <w:lang w:val="en-US"/>
        </w:rPr>
      </w:pPr>
      <w:r w:rsidRPr="00E65669">
        <w:rPr>
          <w:lang w:val="en-US"/>
        </w:rPr>
        <w:t>Shteti duhet të zhvillojë një kuadër të integruar ligjor dhe institucional për zhvillimin e vullnetarizmit në vend.</w:t>
      </w:r>
    </w:p>
    <w:p w14:paraId="3676058A" w14:textId="2FBFB6D5" w:rsidR="00E65669" w:rsidRPr="00E65669" w:rsidRDefault="00E65669" w:rsidP="00E65669">
      <w:pPr>
        <w:pStyle w:val="ListParagraph"/>
        <w:numPr>
          <w:ilvl w:val="0"/>
          <w:numId w:val="31"/>
        </w:numPr>
        <w:rPr>
          <w:lang w:val="en-US"/>
        </w:rPr>
      </w:pPr>
      <w:r w:rsidRPr="00E65669">
        <w:rPr>
          <w:lang w:val="en-US"/>
        </w:rPr>
        <w:t>Duhen krijuar mekanizma për njohjen dhe promovimin e vullnetarizmit me qëllim të përmirësimit të mirëqenies sociale.</w:t>
      </w:r>
    </w:p>
    <w:p w14:paraId="4EB035B5" w14:textId="77777777" w:rsidR="00E65669" w:rsidRDefault="00E65669" w:rsidP="00E65669">
      <w:pPr>
        <w:pStyle w:val="ListParagraph"/>
        <w:numPr>
          <w:ilvl w:val="0"/>
          <w:numId w:val="31"/>
        </w:numPr>
        <w:rPr>
          <w:lang w:val="en-US"/>
        </w:rPr>
      </w:pPr>
      <w:r w:rsidRPr="00E65669">
        <w:rPr>
          <w:lang w:val="en-US"/>
        </w:rPr>
        <w:t> Duhet të hartohen programe specifike të trajnimit për rritjen e kapaciteteve të OSHC-ve në fushën e rekrutimit dhe menaxhimit të vullnetarëve.</w:t>
      </w:r>
    </w:p>
    <w:p w14:paraId="3E89A4CD" w14:textId="77777777" w:rsidR="009C3A38" w:rsidRPr="00082FA3" w:rsidRDefault="009C3A38" w:rsidP="007D552C">
      <w:pPr>
        <w:rPr>
          <w:rFonts w:cs="Calibri Light"/>
          <w:lang w:val="sq-AL"/>
        </w:rPr>
      </w:pPr>
    </w:p>
    <w:p w14:paraId="6969A697" w14:textId="410F4FFC" w:rsidR="007D552C" w:rsidRPr="00082FA3" w:rsidRDefault="0036478C" w:rsidP="007D552C">
      <w:pPr>
        <w:rPr>
          <w:lang w:val="sq-AL"/>
        </w:rPr>
      </w:pPr>
      <w:r w:rsidRPr="00082FA3">
        <w:rPr>
          <w:lang w:val="sq-AL"/>
        </w:rPr>
        <w:t>Procesi se si të bëhet hartimi i Strategjisë së re duhet të mbështetet në standardet më të larta të ofrimit të informacionit dhe marrjes së informatave kthyese përmes kryerjes së konsultimeve dhe rregullimit të pjesëmarrjes së shoqërisë civile në të gjitha fazat e zhvillimit të politikave - që nga faza e parë e rishikimit dhe ri- përcaktimit të objektivave strategjike dhe daljen me veprime dhe tregues konkretë për zbatimin dhe matjen e tyre. Në fund, dokumenti duhet të pasqyrojë një konsensus midis partnerëve kryesorë të qeverisë dhe shoqërisë civile mbi hapat që duhet të ndërmerren për të përmirësuar kushtet në të cilat qeveria dhe shoqëria civile punojnë së bashku.</w:t>
      </w:r>
    </w:p>
    <w:p w14:paraId="44073C45" w14:textId="649FFBB4" w:rsidR="00626065" w:rsidRPr="00082FA3" w:rsidRDefault="00626065" w:rsidP="00626065">
      <w:pPr>
        <w:rPr>
          <w:lang w:val="sq-AL"/>
        </w:rPr>
      </w:pPr>
    </w:p>
    <w:p w14:paraId="118ACF1E" w14:textId="4903E671" w:rsidR="007C2AC3" w:rsidRPr="00082FA3" w:rsidRDefault="007C2AC3" w:rsidP="004059BA">
      <w:pPr>
        <w:rPr>
          <w:lang w:val="sq-AL"/>
        </w:rPr>
      </w:pPr>
      <w:r w:rsidRPr="00082FA3">
        <w:rPr>
          <w:lang w:val="sq-AL"/>
        </w:rPr>
        <w:t xml:space="preserve">Sekretariati është përgjegjës për përgatitjen e draftit fillestar të dokumentit të Strategjisë në përputhje me Rregulloren e Punës së Qeverisë dhe parimet dhe standardet për hartimin e dokumenteve strategjike të vendosura në Udhëzimin Administrativ. Strategjia e vjetër dhe ajo e propozuar për </w:t>
      </w:r>
      <w:r w:rsidR="00ED4125" w:rsidRPr="00082FA3">
        <w:rPr>
          <w:lang w:val="sq-AL"/>
        </w:rPr>
        <w:t>periudhën</w:t>
      </w:r>
      <w:r w:rsidRPr="00082FA3">
        <w:rPr>
          <w:lang w:val="sq-AL"/>
        </w:rPr>
        <w:t xml:space="preserve"> 2018-2022 duhet të qëndrojnë së bashku si një udhëzues se si të hartohet dhe ndërtohet një sistem monitorimi dhe vlerësimi i bazuar në rezultate. Ajo mund të përdoret në me një </w:t>
      </w:r>
      <w:r w:rsidR="00ED4125" w:rsidRPr="00082FA3">
        <w:rPr>
          <w:lang w:val="sq-AL"/>
        </w:rPr>
        <w:t>sesion</w:t>
      </w:r>
      <w:r w:rsidRPr="00082FA3">
        <w:rPr>
          <w:lang w:val="sq-AL"/>
        </w:rPr>
        <w:t xml:space="preserve"> pune e organizuar nga Sekretariati me titullin "Dizajnimi i Strategjisë 2018-2022 dhe Ndërtimi i një Sistemi të Monitorimit dhe Vlerësimit të Bazuar në Rezultate: Një mjet për Bashkëpunimin Qeveritar me Shoqërinë Civile".</w:t>
      </w:r>
    </w:p>
    <w:p w14:paraId="50CC45DC" w14:textId="77777777" w:rsidR="003D3500" w:rsidRDefault="003D3500" w:rsidP="003D3500">
      <w:pPr>
        <w:rPr>
          <w:lang w:val="sq-AL"/>
        </w:rPr>
      </w:pPr>
    </w:p>
    <w:p w14:paraId="652B096B" w14:textId="77777777" w:rsidR="003D3500" w:rsidRDefault="003D3500" w:rsidP="003D3500">
      <w:pPr>
        <w:rPr>
          <w:lang w:val="sq-AL"/>
        </w:rPr>
      </w:pPr>
    </w:p>
    <w:p w14:paraId="75BB825C" w14:textId="14FA6616" w:rsidR="003D3500" w:rsidRDefault="003D3500" w:rsidP="003D3500">
      <w:r>
        <w:rPr>
          <w:lang w:val="sq-AL"/>
        </w:rPr>
        <w:t>Si përfundim</w:t>
      </w:r>
      <w:r w:rsidRPr="003D3500">
        <w:t xml:space="preserve">, zbatimi i një strategjie të tillë komplekse dhe planit të veprimit kërkon koordinim shumë të fortë të politikave qendrore dhe forcimin e burimeve njerëzore të ZQM-ZKM, e cila rekomandohet të trajtohet si prioritet para fillimit të zbatimit të Strategjisë së re. </w:t>
      </w:r>
      <w:r>
        <w:t>Dometh</w:t>
      </w:r>
      <w:r>
        <w:rPr>
          <w:lang w:val="sq-AL"/>
        </w:rPr>
        <w:t>ënë</w:t>
      </w:r>
      <w:r w:rsidRPr="003D3500">
        <w:t xml:space="preserve">, </w:t>
      </w:r>
      <w:r>
        <w:t xml:space="preserve">që </w:t>
      </w:r>
      <w:r w:rsidRPr="003D3500">
        <w:t>ZQM si Sekretariati i Këshillit të Përbashkët Këshillimor për zbatimin e Strategjisë, duhet të siguro</w:t>
      </w:r>
      <w:r>
        <w:t>jë</w:t>
      </w:r>
      <w:r w:rsidRPr="003D3500">
        <w:t xml:space="preserve"> staf shtesë për të ndihmuar </w:t>
      </w:r>
      <w:r w:rsidRPr="003D3500">
        <w:lastRenderedPageBreak/>
        <w:t>në monitorimin dhe raportimin e zbatimit të Strategjisë së re si dhe lehtësimin e punës së Këshillit në këtë proces.</w:t>
      </w:r>
    </w:p>
    <w:p w14:paraId="35E34C1F" w14:textId="77777777" w:rsidR="003D3500" w:rsidRDefault="003D3500" w:rsidP="003D3500"/>
    <w:p w14:paraId="3036DE4E" w14:textId="77777777" w:rsidR="007C2AC3" w:rsidRPr="003D3500" w:rsidRDefault="007C2AC3" w:rsidP="004059BA"/>
    <w:p w14:paraId="6F4C1983" w14:textId="582B24FE" w:rsidR="0013497A" w:rsidRPr="00082FA3" w:rsidRDefault="0013497A" w:rsidP="00973813">
      <w:pPr>
        <w:rPr>
          <w:lang w:val="sq-AL"/>
        </w:rPr>
      </w:pPr>
    </w:p>
    <w:sectPr w:rsidR="0013497A" w:rsidRPr="00082FA3">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8D7B" w14:textId="77777777" w:rsidR="00361217" w:rsidRDefault="00361217" w:rsidP="00303927">
      <w:r>
        <w:separator/>
      </w:r>
    </w:p>
  </w:endnote>
  <w:endnote w:type="continuationSeparator" w:id="0">
    <w:p w14:paraId="7551FF8D" w14:textId="77777777" w:rsidR="00361217" w:rsidRDefault="00361217" w:rsidP="0030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35634"/>
      <w:docPartObj>
        <w:docPartGallery w:val="Page Numbers (Bottom of Page)"/>
        <w:docPartUnique/>
      </w:docPartObj>
    </w:sdtPr>
    <w:sdtEndPr>
      <w:rPr>
        <w:noProof/>
      </w:rPr>
    </w:sdtEndPr>
    <w:sdtContent>
      <w:p w14:paraId="35C7804F" w14:textId="08521476" w:rsidR="00C206CD" w:rsidRDefault="00C206CD">
        <w:pPr>
          <w:pStyle w:val="Footer"/>
          <w:jc w:val="right"/>
        </w:pPr>
        <w:r>
          <w:fldChar w:fldCharType="begin"/>
        </w:r>
        <w:r>
          <w:instrText xml:space="preserve"> PAGE   \* MERGEFORMAT </w:instrText>
        </w:r>
        <w:r>
          <w:fldChar w:fldCharType="separate"/>
        </w:r>
        <w:r w:rsidR="00D66CBB">
          <w:rPr>
            <w:noProof/>
          </w:rPr>
          <w:t>1</w:t>
        </w:r>
        <w:r>
          <w:rPr>
            <w:noProof/>
          </w:rPr>
          <w:fldChar w:fldCharType="end"/>
        </w:r>
      </w:p>
    </w:sdtContent>
  </w:sdt>
  <w:p w14:paraId="71A1BAA5" w14:textId="77777777" w:rsidR="00C206CD" w:rsidRDefault="00C20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C2D5" w14:textId="77777777" w:rsidR="00361217" w:rsidRDefault="00361217" w:rsidP="00303927">
      <w:r>
        <w:separator/>
      </w:r>
    </w:p>
  </w:footnote>
  <w:footnote w:type="continuationSeparator" w:id="0">
    <w:p w14:paraId="133C085A" w14:textId="77777777" w:rsidR="00361217" w:rsidRDefault="00361217" w:rsidP="00303927">
      <w:r>
        <w:continuationSeparator/>
      </w:r>
    </w:p>
  </w:footnote>
  <w:footnote w:id="1">
    <w:p w14:paraId="30B9EB35" w14:textId="52376A4F" w:rsidR="00C206CD" w:rsidRDefault="00C206CD" w:rsidP="00FD1DC8">
      <w:pPr>
        <w:pStyle w:val="FootnoteText"/>
      </w:pPr>
      <w:r>
        <w:rPr>
          <w:rStyle w:val="FootnoteReference"/>
        </w:rPr>
        <w:footnoteRef/>
      </w:r>
      <w:r>
        <w:t xml:space="preserve"> </w:t>
      </w:r>
      <w:hyperlink r:id="rId1" w:history="1">
        <w:r>
          <w:rPr>
            <w:rStyle w:val="Hyperlink"/>
          </w:rPr>
          <w:t xml:space="preserve">Marrëveshja e Stabilizim Asociimit në mes të </w:t>
        </w:r>
        <w:r w:rsidRPr="00D62038">
          <w:rPr>
            <w:rStyle w:val="Hyperlink"/>
          </w:rPr>
          <w:t>Kosov</w:t>
        </w:r>
        <w:r>
          <w:rPr>
            <w:rStyle w:val="Hyperlink"/>
          </w:rPr>
          <w:t>ës</w:t>
        </w:r>
        <w:r w:rsidRPr="00D62038">
          <w:rPr>
            <w:rStyle w:val="Hyperlink"/>
          </w:rPr>
          <w:t xml:space="preserve">, </w:t>
        </w:r>
        <w:r>
          <w:rPr>
            <w:rStyle w:val="Hyperlink"/>
          </w:rPr>
          <w:t xml:space="preserve">në pjesën e njërën </w:t>
        </w:r>
        <w:proofErr w:type="gramStart"/>
        <w:r>
          <w:rPr>
            <w:rStyle w:val="Hyperlink"/>
          </w:rPr>
          <w:t>anë ,dhe</w:t>
        </w:r>
        <w:proofErr w:type="gramEnd"/>
        <w:r>
          <w:rPr>
            <w:rStyle w:val="Hyperlink"/>
          </w:rPr>
          <w:t xml:space="preserve"> BE dhe KEEA</w:t>
        </w:r>
        <w:r w:rsidRPr="00D62038">
          <w:rPr>
            <w:rStyle w:val="Hyperlink"/>
          </w:rPr>
          <w:t xml:space="preserve">, </w:t>
        </w:r>
        <w:r>
          <w:rPr>
            <w:rStyle w:val="Hyperlink"/>
          </w:rPr>
          <w:t>në anën tjetër</w:t>
        </w:r>
      </w:hyperlink>
      <w:r>
        <w:t xml:space="preserve">. F. 4.  </w:t>
      </w:r>
    </w:p>
  </w:footnote>
  <w:footnote w:id="2">
    <w:p w14:paraId="44DF5E4B" w14:textId="34248023" w:rsidR="00C206CD" w:rsidRPr="008139DD" w:rsidRDefault="00C206CD" w:rsidP="00FD1DC8">
      <w:pPr>
        <w:pStyle w:val="FootnoteText"/>
        <w:rPr>
          <w:szCs w:val="18"/>
        </w:rPr>
      </w:pPr>
      <w:r w:rsidRPr="00673B25">
        <w:rPr>
          <w:rStyle w:val="FootnoteReference"/>
          <w:szCs w:val="18"/>
        </w:rPr>
        <w:footnoteRef/>
      </w:r>
      <w:r w:rsidRPr="00673B25">
        <w:rPr>
          <w:szCs w:val="18"/>
        </w:rPr>
        <w:t xml:space="preserve"> </w:t>
      </w:r>
      <w:bookmarkStart w:id="7" w:name="_Hlk495917663"/>
      <w:r w:rsidRPr="00976F5D">
        <w:rPr>
          <w:szCs w:val="18"/>
        </w:rPr>
        <w:t xml:space="preserve">Zyra për Qeverisje të Mirë. </w:t>
      </w:r>
      <w:hyperlink r:id="rId2" w:history="1">
        <w:r w:rsidRPr="00976F5D">
          <w:rPr>
            <w:rStyle w:val="Hyperlink"/>
            <w:szCs w:val="18"/>
          </w:rPr>
          <w:t>Strategjia e Qeverisë për Bashkëpunim me Shoqërinë Civile</w:t>
        </w:r>
      </w:hyperlink>
      <w:r>
        <w:rPr>
          <w:szCs w:val="18"/>
        </w:rPr>
        <w:t>. 2013, f</w:t>
      </w:r>
      <w:r w:rsidRPr="008139DD">
        <w:rPr>
          <w:szCs w:val="18"/>
        </w:rPr>
        <w:t>. 2</w:t>
      </w:r>
      <w:bookmarkEnd w:id="7"/>
      <w:r w:rsidRPr="008139DD">
        <w:rPr>
          <w:szCs w:val="18"/>
        </w:rPr>
        <w:t>.</w:t>
      </w:r>
    </w:p>
  </w:footnote>
  <w:footnote w:id="3">
    <w:p w14:paraId="5BC80E3D" w14:textId="7C7758AD" w:rsidR="00C206CD" w:rsidRDefault="00C206CD" w:rsidP="008B02D2">
      <w:pPr>
        <w:pStyle w:val="FootnoteText"/>
      </w:pPr>
      <w:r>
        <w:rPr>
          <w:rStyle w:val="FootnoteReference"/>
        </w:rPr>
        <w:footnoteRef/>
      </w:r>
      <w:r>
        <w:t xml:space="preserve"> </w:t>
      </w:r>
      <w:hyperlink r:id="rId3" w:history="1">
        <w:r>
          <w:rPr>
            <w:rStyle w:val="Hyperlink"/>
          </w:rPr>
          <w:t xml:space="preserve">Vendimi i Qeverisë </w:t>
        </w:r>
        <w:r w:rsidRPr="00897DFD">
          <w:rPr>
            <w:rStyle w:val="Hyperlink"/>
          </w:rPr>
          <w:t>03/138</w:t>
        </w:r>
      </w:hyperlink>
      <w:r>
        <w:t xml:space="preserve">. 5 korrik, 2013. </w:t>
      </w:r>
    </w:p>
  </w:footnote>
  <w:footnote w:id="4">
    <w:p w14:paraId="376ECEE2" w14:textId="47BBA650" w:rsidR="00C206CD" w:rsidRDefault="00C206CD" w:rsidP="008B02D2">
      <w:pPr>
        <w:pStyle w:val="FootnoteText"/>
      </w:pPr>
      <w:r>
        <w:rPr>
          <w:rStyle w:val="FootnoteReference"/>
        </w:rPr>
        <w:footnoteRef/>
      </w:r>
      <w:r>
        <w:t xml:space="preserve"> </w:t>
      </w:r>
      <w:r w:rsidRPr="00673B25">
        <w:rPr>
          <w:szCs w:val="18"/>
        </w:rPr>
        <w:t xml:space="preserve">CiviKos. </w:t>
      </w:r>
      <w:hyperlink r:id="rId4" w:history="1">
        <w:r w:rsidRPr="00976F5D">
          <w:rPr>
            <w:rStyle w:val="Hyperlink"/>
            <w:szCs w:val="18"/>
          </w:rPr>
          <w:t>Zbatimi i Strategjisë Qeveritare për Bashkëpunim me Shoqërinë Civile 2013-2016</w:t>
        </w:r>
      </w:hyperlink>
      <w:r>
        <w:rPr>
          <w:szCs w:val="18"/>
        </w:rPr>
        <w:t>. 2016, f. 4</w:t>
      </w:r>
      <w:r w:rsidRPr="00673B25">
        <w:rPr>
          <w:szCs w:val="18"/>
        </w:rPr>
        <w:t>.</w:t>
      </w:r>
    </w:p>
  </w:footnote>
  <w:footnote w:id="5">
    <w:p w14:paraId="48B6D069" w14:textId="7F3C3F32" w:rsidR="00C206CD" w:rsidRPr="00673B25" w:rsidRDefault="00C206CD" w:rsidP="008B02D2">
      <w:pPr>
        <w:pStyle w:val="FootnoteText"/>
        <w:rPr>
          <w:szCs w:val="18"/>
        </w:rPr>
      </w:pPr>
      <w:r w:rsidRPr="008139DD">
        <w:rPr>
          <w:rStyle w:val="FootnoteReference"/>
          <w:szCs w:val="18"/>
        </w:rPr>
        <w:footnoteRef/>
      </w:r>
      <w:r w:rsidRPr="008139DD">
        <w:rPr>
          <w:szCs w:val="18"/>
        </w:rPr>
        <w:t xml:space="preserve"> </w:t>
      </w:r>
      <w:r w:rsidRPr="00976F5D">
        <w:rPr>
          <w:szCs w:val="18"/>
        </w:rPr>
        <w:t xml:space="preserve">Zyra për Qeverisje të Mirë. </w:t>
      </w:r>
      <w:hyperlink r:id="rId5" w:history="1">
        <w:r w:rsidRPr="00976F5D">
          <w:rPr>
            <w:rStyle w:val="Hyperlink"/>
            <w:szCs w:val="18"/>
          </w:rPr>
          <w:t>Strategjia e Qeverisë për Bashkëpunim me Shoqërinë Civile</w:t>
        </w:r>
      </w:hyperlink>
      <w:r>
        <w:rPr>
          <w:szCs w:val="18"/>
        </w:rPr>
        <w:t>. 2013, f</w:t>
      </w:r>
      <w:r w:rsidRPr="008139DD">
        <w:rPr>
          <w:szCs w:val="18"/>
        </w:rPr>
        <w:t>. 2</w:t>
      </w:r>
    </w:p>
  </w:footnote>
  <w:footnote w:id="6">
    <w:p w14:paraId="373BF95C" w14:textId="5D5D89D7" w:rsidR="00C206CD" w:rsidRPr="00150454" w:rsidRDefault="00C206CD" w:rsidP="00A06DCA">
      <w:pPr>
        <w:pStyle w:val="FootnoteText"/>
        <w:rPr>
          <w:szCs w:val="18"/>
        </w:rPr>
      </w:pPr>
      <w:r>
        <w:rPr>
          <w:rStyle w:val="FootnoteReference"/>
        </w:rPr>
        <w:footnoteRef/>
      </w:r>
      <w:r>
        <w:t xml:space="preserve"> </w:t>
      </w:r>
      <w:r w:rsidRPr="00673B25">
        <w:rPr>
          <w:szCs w:val="18"/>
        </w:rPr>
        <w:t xml:space="preserve">CiviKos. </w:t>
      </w:r>
      <w:hyperlink r:id="rId6" w:history="1">
        <w:r w:rsidRPr="00976F5D">
          <w:rPr>
            <w:rStyle w:val="Hyperlink"/>
            <w:szCs w:val="18"/>
          </w:rPr>
          <w:t>Zbatimi i Strategjisë Qeveritare për Bashkëpunim me Shoqërinë Civile 2013-2016</w:t>
        </w:r>
      </w:hyperlink>
      <w:r>
        <w:rPr>
          <w:szCs w:val="18"/>
        </w:rPr>
        <w:t>.. 2016, f. 3</w:t>
      </w:r>
      <w:r w:rsidRPr="00673B25">
        <w:rPr>
          <w:szCs w:val="18"/>
        </w:rPr>
        <w:t xml:space="preserve">. </w:t>
      </w:r>
    </w:p>
  </w:footnote>
  <w:footnote w:id="7">
    <w:p w14:paraId="2DBEC39A" w14:textId="405D1B93" w:rsidR="00C206CD" w:rsidRDefault="00C206CD" w:rsidP="005E7407">
      <w:pPr>
        <w:pStyle w:val="FootnoteText"/>
      </w:pPr>
      <w:r>
        <w:rPr>
          <w:rStyle w:val="FootnoteReference"/>
        </w:rPr>
        <w:footnoteRef/>
      </w:r>
      <w:r>
        <w:t xml:space="preserve"> Office on Good Governance. </w:t>
      </w:r>
      <w:hyperlink r:id="rId7" w:history="1">
        <w:r w:rsidRPr="00D71B49">
          <w:rPr>
            <w:rStyle w:val="Hyperlink"/>
          </w:rPr>
          <w:t>Terms of References</w:t>
        </w:r>
      </w:hyperlink>
      <w:r>
        <w:t xml:space="preserve">. Pa date. </w:t>
      </w:r>
    </w:p>
  </w:footnote>
  <w:footnote w:id="8">
    <w:p w14:paraId="5CD3422D" w14:textId="1BCEB98B" w:rsidR="00C206CD" w:rsidRDefault="00C206CD" w:rsidP="005E7407">
      <w:pPr>
        <w:pStyle w:val="FootnoteText"/>
      </w:pPr>
      <w:r>
        <w:rPr>
          <w:rStyle w:val="FootnoteReference"/>
        </w:rPr>
        <w:footnoteRef/>
      </w:r>
      <w:r>
        <w:t xml:space="preserve"> </w:t>
      </w:r>
      <w:r w:rsidRPr="00673B25">
        <w:rPr>
          <w:szCs w:val="18"/>
        </w:rPr>
        <w:t xml:space="preserve">CiviKos. </w:t>
      </w:r>
      <w:hyperlink r:id="rId8" w:history="1">
        <w:r w:rsidRPr="00976F5D">
          <w:rPr>
            <w:rStyle w:val="Hyperlink"/>
            <w:szCs w:val="18"/>
          </w:rPr>
          <w:t>Zbatimi i Strategjisë Qeveritare për Bashkëpunim me Shoqërinë Civile 2013-2016</w:t>
        </w:r>
      </w:hyperlink>
      <w:r>
        <w:rPr>
          <w:szCs w:val="18"/>
        </w:rPr>
        <w:t>.. 2016, f. 5</w:t>
      </w:r>
      <w:r w:rsidRPr="00673B25">
        <w:rPr>
          <w:szCs w:val="18"/>
        </w:rPr>
        <w:t>.</w:t>
      </w:r>
    </w:p>
  </w:footnote>
  <w:footnote w:id="9">
    <w:p w14:paraId="6D4FB3DF" w14:textId="220E3172" w:rsidR="00C206CD" w:rsidRDefault="00C206CD" w:rsidP="005E7407">
      <w:pPr>
        <w:pStyle w:val="FootnoteText"/>
      </w:pPr>
      <w:r>
        <w:rPr>
          <w:rStyle w:val="FootnoteReference"/>
        </w:rPr>
        <w:footnoteRef/>
      </w:r>
      <w:r>
        <w:rPr>
          <w:szCs w:val="18"/>
        </w:rPr>
        <w:t xml:space="preserve"> </w:t>
      </w:r>
      <w:r w:rsidRPr="00976F5D">
        <w:rPr>
          <w:szCs w:val="18"/>
        </w:rPr>
        <w:t>Zyra për Qeverisje të Mirë</w:t>
      </w:r>
      <w:r>
        <w:t xml:space="preserve">. </w:t>
      </w:r>
      <w:hyperlink r:id="rId9" w:history="1">
        <w:r>
          <w:rPr>
            <w:rStyle w:val="Hyperlink"/>
          </w:rPr>
          <w:t xml:space="preserve">Termat e </w:t>
        </w:r>
        <w:r w:rsidRPr="00D71B49">
          <w:rPr>
            <w:rStyle w:val="Hyperlink"/>
          </w:rPr>
          <w:t>References</w:t>
        </w:r>
      </w:hyperlink>
      <w:r>
        <w:t>. Pa date.</w:t>
      </w:r>
    </w:p>
  </w:footnote>
  <w:footnote w:id="10">
    <w:p w14:paraId="403D3537" w14:textId="0B9B05CC" w:rsidR="00C206CD" w:rsidRDefault="00C206CD" w:rsidP="005E7407">
      <w:pPr>
        <w:pStyle w:val="FootnoteText"/>
      </w:pPr>
      <w:r>
        <w:rPr>
          <w:rStyle w:val="FootnoteReference"/>
        </w:rPr>
        <w:footnoteRef/>
      </w:r>
      <w:r>
        <w:t xml:space="preserve"> </w:t>
      </w:r>
      <w:r w:rsidRPr="00673B25">
        <w:rPr>
          <w:szCs w:val="18"/>
        </w:rPr>
        <w:t xml:space="preserve">CiviKos. </w:t>
      </w:r>
      <w:hyperlink r:id="rId10" w:history="1">
        <w:r w:rsidRPr="00976F5D">
          <w:rPr>
            <w:rStyle w:val="Hyperlink"/>
            <w:szCs w:val="18"/>
          </w:rPr>
          <w:t>Zbatimi i Strategjisë Qeveritare për Bashkëpunim me Shoqërinë Civile 2013-2016</w:t>
        </w:r>
      </w:hyperlink>
      <w:r>
        <w:rPr>
          <w:szCs w:val="18"/>
        </w:rPr>
        <w:t>.. 2016, f. 5</w:t>
      </w:r>
      <w:r w:rsidRPr="00673B25">
        <w:rPr>
          <w:szCs w:val="18"/>
        </w:rPr>
        <w:t>.</w:t>
      </w:r>
    </w:p>
  </w:footnote>
  <w:footnote w:id="11">
    <w:p w14:paraId="0F24A7E1" w14:textId="0DA17E2D" w:rsidR="00C206CD" w:rsidRDefault="00C206CD" w:rsidP="005E7407">
      <w:pPr>
        <w:pStyle w:val="FootnoteText"/>
      </w:pPr>
      <w:r>
        <w:rPr>
          <w:rStyle w:val="FootnoteReference"/>
        </w:rPr>
        <w:footnoteRef/>
      </w:r>
      <w:r>
        <w:t xml:space="preserve"> </w:t>
      </w:r>
      <w:r w:rsidRPr="00673B25">
        <w:rPr>
          <w:szCs w:val="18"/>
        </w:rPr>
        <w:t xml:space="preserve">CiviKos. </w:t>
      </w:r>
      <w:hyperlink r:id="rId11" w:history="1">
        <w:r w:rsidRPr="00976F5D">
          <w:rPr>
            <w:rStyle w:val="Hyperlink"/>
            <w:szCs w:val="18"/>
          </w:rPr>
          <w:t>Zbatimi i Strategjisë Qeveritare për Bashkëpunim me Shoqërinë Civile 2013-2016</w:t>
        </w:r>
      </w:hyperlink>
      <w:r>
        <w:rPr>
          <w:szCs w:val="18"/>
        </w:rPr>
        <w:t>.. 2016, f. 6</w:t>
      </w:r>
      <w:r w:rsidRPr="00673B25">
        <w:rPr>
          <w:szCs w:val="18"/>
        </w:rPr>
        <w:t>.</w:t>
      </w:r>
    </w:p>
  </w:footnote>
  <w:footnote w:id="12">
    <w:p w14:paraId="342519AD" w14:textId="6C7E6DCB" w:rsidR="00C206CD" w:rsidRDefault="00C206CD" w:rsidP="008173CF">
      <w:pPr>
        <w:pStyle w:val="FootnoteText"/>
      </w:pPr>
      <w:r>
        <w:rPr>
          <w:rStyle w:val="FootnoteReference"/>
        </w:rPr>
        <w:footnoteRef/>
      </w:r>
      <w:r>
        <w:t xml:space="preserve"> </w:t>
      </w:r>
      <w:hyperlink r:id="rId12" w:history="1">
        <w:r>
          <w:rPr>
            <w:rStyle w:val="Hyperlink"/>
          </w:rPr>
          <w:t>Urdhëresa A</w:t>
        </w:r>
        <w:r w:rsidRPr="00026AD8">
          <w:rPr>
            <w:rStyle w:val="Hyperlink"/>
          </w:rPr>
          <w:t>ministrative N</w:t>
        </w:r>
        <w:r>
          <w:rPr>
            <w:rStyle w:val="Hyperlink"/>
          </w:rPr>
          <w:t>r</w:t>
        </w:r>
        <w:r w:rsidRPr="00026AD8">
          <w:rPr>
            <w:rStyle w:val="Hyperlink"/>
          </w:rPr>
          <w:t>. 02/2012</w:t>
        </w:r>
      </w:hyperlink>
      <w:r>
        <w:t xml:space="preserve">. Mars 3, 2012. Neni 9, p. 11-18. </w:t>
      </w:r>
    </w:p>
  </w:footnote>
  <w:footnote w:id="13">
    <w:p w14:paraId="1DEC8097" w14:textId="4ECC648B" w:rsidR="00C206CD" w:rsidRDefault="00C206CD" w:rsidP="00D33ADD">
      <w:pPr>
        <w:pStyle w:val="FootnoteText"/>
      </w:pPr>
      <w:r>
        <w:rPr>
          <w:rStyle w:val="FootnoteReference"/>
        </w:rPr>
        <w:footnoteRef/>
      </w:r>
      <w:r>
        <w:t xml:space="preserve"> </w:t>
      </w:r>
      <w:r w:rsidRPr="00673B25">
        <w:rPr>
          <w:szCs w:val="18"/>
        </w:rPr>
        <w:t xml:space="preserve">CiviKos. </w:t>
      </w:r>
      <w:hyperlink r:id="rId13" w:history="1">
        <w:r w:rsidRPr="00976F5D">
          <w:rPr>
            <w:rStyle w:val="Hyperlink"/>
            <w:szCs w:val="18"/>
          </w:rPr>
          <w:t>Zbatimi i Strategjisë Qeveritare për Bashkëpunim me Shoqërinë Civile 2013-2016</w:t>
        </w:r>
      </w:hyperlink>
      <w:r>
        <w:rPr>
          <w:rStyle w:val="Hyperlink"/>
          <w:szCs w:val="18"/>
        </w:rPr>
        <w:t xml:space="preserve">. </w:t>
      </w:r>
      <w:r>
        <w:rPr>
          <w:szCs w:val="18"/>
        </w:rPr>
        <w:t>2016, f. 7</w:t>
      </w:r>
      <w:r w:rsidRPr="00673B25">
        <w:rPr>
          <w:szCs w:val="18"/>
        </w:rPr>
        <w:t>.</w:t>
      </w:r>
    </w:p>
  </w:footnote>
  <w:footnote w:id="14">
    <w:p w14:paraId="54A795FF" w14:textId="092475CA" w:rsidR="00C206CD" w:rsidRDefault="00C206CD" w:rsidP="00A63C6F">
      <w:pPr>
        <w:pStyle w:val="FootnoteText"/>
      </w:pPr>
      <w:r>
        <w:rPr>
          <w:rStyle w:val="FootnoteReference"/>
        </w:rPr>
        <w:footnoteRef/>
      </w:r>
      <w:r>
        <w:t xml:space="preserve"> Zyra për Qeverisje të Mirë. Matrica e Monitorimit dhe Raportimit. Maj 2017. </w:t>
      </w:r>
    </w:p>
  </w:footnote>
  <w:footnote w:id="15">
    <w:p w14:paraId="4EA10CB1" w14:textId="2EC0B8AE" w:rsidR="00C206CD" w:rsidRDefault="00C206CD" w:rsidP="00497792">
      <w:pPr>
        <w:pStyle w:val="FootnoteText"/>
      </w:pPr>
      <w:r>
        <w:rPr>
          <w:rStyle w:val="FootnoteReference"/>
        </w:rPr>
        <w:footnoteRef/>
      </w:r>
      <w:r>
        <w:t xml:space="preserve"> </w:t>
      </w:r>
      <w:r w:rsidRPr="00673B25">
        <w:rPr>
          <w:szCs w:val="18"/>
        </w:rPr>
        <w:t xml:space="preserve">CiviKos. </w:t>
      </w:r>
      <w:hyperlink r:id="rId14" w:history="1">
        <w:r w:rsidRPr="00976F5D">
          <w:rPr>
            <w:rStyle w:val="Hyperlink"/>
            <w:szCs w:val="18"/>
          </w:rPr>
          <w:t>Zbatimi i Strategjisë Qeveritare për Bashkëpunim me Shoqërinë Civile 2013-2016</w:t>
        </w:r>
      </w:hyperlink>
      <w:r>
        <w:rPr>
          <w:szCs w:val="18"/>
        </w:rPr>
        <w:t>. 2016, f. 14</w:t>
      </w:r>
      <w:r w:rsidRPr="00673B25">
        <w:rPr>
          <w:szCs w:val="18"/>
        </w:rPr>
        <w:t>.</w:t>
      </w:r>
    </w:p>
  </w:footnote>
  <w:footnote w:id="16">
    <w:p w14:paraId="33FB1E3B" w14:textId="7C9EDEF7" w:rsidR="00C206CD" w:rsidRDefault="00C206CD" w:rsidP="00497792">
      <w:pPr>
        <w:pStyle w:val="FootnoteText"/>
      </w:pPr>
      <w:r>
        <w:rPr>
          <w:rStyle w:val="FootnoteReference"/>
        </w:rPr>
        <w:footnoteRef/>
      </w:r>
      <w:r>
        <w:t xml:space="preserve"> </w:t>
      </w:r>
      <w:r w:rsidRPr="00673B25">
        <w:rPr>
          <w:szCs w:val="18"/>
        </w:rPr>
        <w:t xml:space="preserve">CiviKos. </w:t>
      </w:r>
      <w:hyperlink r:id="rId15" w:history="1">
        <w:r w:rsidRPr="00976F5D">
          <w:rPr>
            <w:rStyle w:val="Hyperlink"/>
            <w:szCs w:val="18"/>
          </w:rPr>
          <w:t>Zbatimi i Strategjisë Qeveritare për Bashkëpunim me Shoqërinë Civile 2013-2016</w:t>
        </w:r>
      </w:hyperlink>
      <w:r>
        <w:rPr>
          <w:szCs w:val="18"/>
        </w:rPr>
        <w:t>.. 2016, f. 3</w:t>
      </w:r>
      <w:r w:rsidRPr="00673B25">
        <w:rPr>
          <w:szCs w:val="18"/>
        </w:rPr>
        <w:t>.</w:t>
      </w:r>
    </w:p>
  </w:footnote>
  <w:footnote w:id="17">
    <w:p w14:paraId="31852138" w14:textId="079DBCFD" w:rsidR="00C206CD" w:rsidRDefault="00C206CD" w:rsidP="003F58FB">
      <w:pPr>
        <w:pStyle w:val="FootnoteText"/>
      </w:pPr>
      <w:r>
        <w:rPr>
          <w:rStyle w:val="FootnoteReference"/>
        </w:rPr>
        <w:footnoteRef/>
      </w:r>
      <w:r>
        <w:t xml:space="preserve"> Zyra për Qeverisje të Mirë. Matrica e Monitorimit dhe Raportimit. Maj 2017. </w:t>
      </w:r>
    </w:p>
  </w:footnote>
  <w:footnote w:id="18">
    <w:p w14:paraId="19778069" w14:textId="71AC7118" w:rsidR="00C206CD" w:rsidRDefault="00C206CD" w:rsidP="005B7D25">
      <w:pPr>
        <w:pStyle w:val="FootnoteText"/>
      </w:pPr>
      <w:r>
        <w:rPr>
          <w:rStyle w:val="FootnoteReference"/>
        </w:rPr>
        <w:footnoteRef/>
      </w:r>
      <w:r>
        <w:t xml:space="preserve"> </w:t>
      </w:r>
      <w:r w:rsidRPr="00673B25">
        <w:rPr>
          <w:szCs w:val="18"/>
        </w:rPr>
        <w:t xml:space="preserve">CiviKos. </w:t>
      </w:r>
      <w:hyperlink r:id="rId16" w:history="1">
        <w:r w:rsidRPr="00976F5D">
          <w:rPr>
            <w:rStyle w:val="Hyperlink"/>
            <w:szCs w:val="18"/>
          </w:rPr>
          <w:t>Zbatimi i Strategjisë Qeveritare për Bashkëpunim me Shoqërinë Civile 2013-2016</w:t>
        </w:r>
      </w:hyperlink>
      <w:r>
        <w:rPr>
          <w:szCs w:val="18"/>
        </w:rPr>
        <w:t>. 2016, f. 12.</w:t>
      </w:r>
    </w:p>
  </w:footnote>
  <w:footnote w:id="19">
    <w:p w14:paraId="73E22177" w14:textId="5168725A" w:rsidR="00C206CD" w:rsidRPr="002A6F09" w:rsidRDefault="00C206CD">
      <w:pPr>
        <w:pStyle w:val="FootnoteText"/>
      </w:pPr>
      <w:r>
        <w:rPr>
          <w:rStyle w:val="FootnoteReference"/>
        </w:rPr>
        <w:footnoteRef/>
      </w:r>
      <w:r>
        <w:t xml:space="preserve"> Dreshaj, </w:t>
      </w:r>
      <w:r>
        <w:rPr>
          <w:lang w:val="sq-AL"/>
        </w:rPr>
        <w:t>Trëndelinë</w:t>
      </w:r>
      <w:r>
        <w:t xml:space="preserve">. Zyra për Qeverisje të Mirë (ZQM). Intervistë. 25 </w:t>
      </w:r>
      <w:proofErr w:type="gramStart"/>
      <w:r>
        <w:t>Gusht ,</w:t>
      </w:r>
      <w:proofErr w:type="gramEnd"/>
      <w:r>
        <w:t xml:space="preserve"> 2017. </w:t>
      </w:r>
    </w:p>
  </w:footnote>
  <w:footnote w:id="20">
    <w:p w14:paraId="79A86047" w14:textId="2F18350D" w:rsidR="00C206CD" w:rsidRDefault="00C206CD" w:rsidP="006E197A">
      <w:pPr>
        <w:pStyle w:val="FootnoteText"/>
      </w:pPr>
      <w:r>
        <w:rPr>
          <w:rStyle w:val="FootnoteReference"/>
        </w:rPr>
        <w:footnoteRef/>
      </w:r>
      <w:r>
        <w:t xml:space="preserve"> </w:t>
      </w:r>
      <w:r w:rsidRPr="00673B25">
        <w:rPr>
          <w:szCs w:val="18"/>
        </w:rPr>
        <w:t xml:space="preserve">CiviKos. </w:t>
      </w:r>
      <w:hyperlink r:id="rId17" w:history="1">
        <w:r w:rsidRPr="00976F5D">
          <w:rPr>
            <w:rStyle w:val="Hyperlink"/>
            <w:szCs w:val="18"/>
          </w:rPr>
          <w:t>Zbatimi i Strategjisë Qeveritare për Bashkëpunim me Shoqërinë Civile 2013-2016</w:t>
        </w:r>
      </w:hyperlink>
      <w:r>
        <w:rPr>
          <w:szCs w:val="18"/>
        </w:rPr>
        <w:t>. 2016, f. 6</w:t>
      </w:r>
      <w:r w:rsidRPr="00673B25">
        <w:rPr>
          <w:szCs w:val="18"/>
        </w:rPr>
        <w:t>.</w:t>
      </w:r>
    </w:p>
  </w:footnote>
  <w:footnote w:id="21">
    <w:p w14:paraId="5B156AD2" w14:textId="4618BD9F" w:rsidR="00C206CD" w:rsidRDefault="00C206CD" w:rsidP="00C96D51">
      <w:pPr>
        <w:pStyle w:val="FootnoteText"/>
      </w:pPr>
      <w:r>
        <w:rPr>
          <w:rStyle w:val="FootnoteReference"/>
        </w:rPr>
        <w:footnoteRef/>
      </w:r>
      <w:r>
        <w:t xml:space="preserve"> Hoxha, Taulant. </w:t>
      </w:r>
      <w:hyperlink r:id="rId18" w:history="1">
        <w:r w:rsidRPr="00E25576">
          <w:rPr>
            <w:rStyle w:val="Hyperlink"/>
          </w:rPr>
          <w:t>Matrica e Monitorimit për t</w:t>
        </w:r>
        <w:r>
          <w:rPr>
            <w:rStyle w:val="Hyperlink"/>
          </w:rPr>
          <w:t>’ë</w:t>
        </w:r>
        <w:r w:rsidRPr="00E25576">
          <w:rPr>
            <w:rStyle w:val="Hyperlink"/>
            <w:lang w:val="sq-AL"/>
          </w:rPr>
          <w:t xml:space="preserve"> </w:t>
        </w:r>
        <w:r>
          <w:rPr>
            <w:rStyle w:val="Hyperlink"/>
            <w:lang w:val="sq-AL"/>
          </w:rPr>
          <w:t>m</w:t>
        </w:r>
        <w:r w:rsidRPr="00E25576">
          <w:rPr>
            <w:rStyle w:val="Hyperlink"/>
          </w:rPr>
          <w:t>undës</w:t>
        </w:r>
        <w:r>
          <w:rPr>
            <w:rStyle w:val="Hyperlink"/>
          </w:rPr>
          <w:t>uar</w:t>
        </w:r>
        <w:r w:rsidRPr="00E25576">
          <w:rPr>
            <w:rStyle w:val="Hyperlink"/>
          </w:rPr>
          <w:t xml:space="preserve"> Mjedisi</w:t>
        </w:r>
        <w:r>
          <w:rPr>
            <w:rStyle w:val="Hyperlink"/>
          </w:rPr>
          <w:t>n</w:t>
        </w:r>
        <w:r w:rsidRPr="00E25576">
          <w:rPr>
            <w:rStyle w:val="Hyperlink"/>
          </w:rPr>
          <w:t xml:space="preserve"> për Zhvillimin e Shoqërisë Civile</w:t>
        </w:r>
      </w:hyperlink>
      <w:r>
        <w:t xml:space="preserve">. Raporti për Kosovën 2016. KCSF. 2016, f. 4. </w:t>
      </w:r>
    </w:p>
  </w:footnote>
  <w:footnote w:id="22">
    <w:p w14:paraId="3684BA5C" w14:textId="54616797" w:rsidR="00C206CD" w:rsidRDefault="00C206CD" w:rsidP="0083083D">
      <w:pPr>
        <w:pStyle w:val="FootnoteText"/>
      </w:pPr>
      <w:r>
        <w:rPr>
          <w:rStyle w:val="FootnoteReference"/>
        </w:rPr>
        <w:footnoteRef/>
      </w:r>
      <w:r>
        <w:t xml:space="preserve"> </w:t>
      </w:r>
      <w:r w:rsidRPr="00673B25">
        <w:rPr>
          <w:szCs w:val="18"/>
        </w:rPr>
        <w:t xml:space="preserve">CiviKos. </w:t>
      </w:r>
      <w:hyperlink r:id="rId19" w:history="1">
        <w:hyperlink r:id="rId20" w:history="1">
          <w:r w:rsidRPr="00976F5D">
            <w:rPr>
              <w:rStyle w:val="Hyperlink"/>
              <w:szCs w:val="18"/>
            </w:rPr>
            <w:t>Zbatimi i Strategjisë Qeveritare për Bashkëpunim me Shoqërinë Civile 2013-2016</w:t>
          </w:r>
        </w:hyperlink>
      </w:hyperlink>
      <w:r>
        <w:rPr>
          <w:szCs w:val="18"/>
        </w:rPr>
        <w:t>. 2016, f. 6</w:t>
      </w:r>
      <w:r w:rsidRPr="00673B25">
        <w:rPr>
          <w:szCs w:val="18"/>
        </w:rPr>
        <w:t>.</w:t>
      </w:r>
    </w:p>
  </w:footnote>
  <w:footnote w:id="23">
    <w:p w14:paraId="254DEAF3" w14:textId="77777777" w:rsidR="00C206CD" w:rsidRDefault="00C206CD" w:rsidP="005A6E43">
      <w:pPr>
        <w:pStyle w:val="FootnoteText"/>
      </w:pPr>
      <w:r>
        <w:rPr>
          <w:rStyle w:val="FootnoteReference"/>
        </w:rPr>
        <w:footnoteRef/>
      </w:r>
      <w:r>
        <w:t xml:space="preserve"> Hoxha, Taulant. </w:t>
      </w:r>
      <w:hyperlink r:id="rId21" w:history="1">
        <w:r w:rsidRPr="007D7115">
          <w:rPr>
            <w:rStyle w:val="Hyperlink"/>
          </w:rPr>
          <w:t>Monitoring Matrix on Enabling Environment for Civil Society Development</w:t>
        </w:r>
      </w:hyperlink>
      <w:r>
        <w:t>. Kosovo Country Report 2016. KCSF. 2016, p. 5.</w:t>
      </w:r>
    </w:p>
  </w:footnote>
  <w:footnote w:id="24">
    <w:p w14:paraId="4E92437E" w14:textId="4CAA1B99" w:rsidR="00C206CD" w:rsidRDefault="00C206CD" w:rsidP="00526265">
      <w:pPr>
        <w:pStyle w:val="FootnoteText"/>
      </w:pPr>
      <w:r w:rsidRPr="00673B25">
        <w:rPr>
          <w:rStyle w:val="FootnoteReference"/>
          <w:szCs w:val="18"/>
        </w:rPr>
        <w:footnoteRef/>
      </w:r>
      <w:r w:rsidRPr="00673B25">
        <w:rPr>
          <w:szCs w:val="18"/>
        </w:rPr>
        <w:t xml:space="preserve"> CiviKos. </w:t>
      </w:r>
      <w:hyperlink r:id="rId22" w:history="1">
        <w:hyperlink r:id="rId23" w:history="1">
          <w:r w:rsidRPr="00976F5D">
            <w:rPr>
              <w:rStyle w:val="Hyperlink"/>
              <w:szCs w:val="18"/>
            </w:rPr>
            <w:t>Zbatimi i Strategjisë Qeveritare për Bashkëpunim me Shoqërinë Civile 2013-2016</w:t>
          </w:r>
        </w:hyperlink>
      </w:hyperlink>
      <w:r w:rsidRPr="00673B25">
        <w:rPr>
          <w:szCs w:val="18"/>
        </w:rPr>
        <w:t>. 2016, p. 16.</w:t>
      </w:r>
    </w:p>
  </w:footnote>
  <w:footnote w:id="25">
    <w:p w14:paraId="552BE6AC" w14:textId="24AB2E19" w:rsidR="00C206CD" w:rsidRDefault="00C206CD" w:rsidP="00526265">
      <w:pPr>
        <w:pStyle w:val="FootnoteText"/>
      </w:pPr>
      <w:r>
        <w:rPr>
          <w:rStyle w:val="FootnoteReference"/>
        </w:rPr>
        <w:footnoteRef/>
      </w:r>
      <w:r>
        <w:t xml:space="preserve"> </w:t>
      </w:r>
      <w:r w:rsidRPr="005807F1">
        <w:rPr>
          <w:szCs w:val="18"/>
        </w:rPr>
        <w:t xml:space="preserve">TACSO. </w:t>
      </w:r>
      <w:hyperlink r:id="rId24" w:history="1">
        <w:hyperlink r:id="rId25" w:history="1">
          <w:r>
            <w:rPr>
              <w:rStyle w:val="Hyperlink"/>
              <w:szCs w:val="18"/>
            </w:rPr>
            <w:t>Raporti i Nevojave për Vlerësim</w:t>
          </w:r>
          <w:r w:rsidRPr="005807F1">
            <w:rPr>
              <w:rStyle w:val="Hyperlink"/>
              <w:szCs w:val="18"/>
            </w:rPr>
            <w:t xml:space="preserve"> – Kosov</w:t>
          </w:r>
        </w:hyperlink>
        <w:r>
          <w:rPr>
            <w:rStyle w:val="Hyperlink"/>
            <w:szCs w:val="18"/>
          </w:rPr>
          <w:t>ë</w:t>
        </w:r>
        <w:r w:rsidRPr="005807F1">
          <w:rPr>
            <w:szCs w:val="18"/>
          </w:rPr>
          <w:t>.</w:t>
        </w:r>
        <w:r>
          <w:rPr>
            <w:szCs w:val="18"/>
          </w:rPr>
          <w:t xml:space="preserve"> </w:t>
        </w:r>
        <w:r w:rsidRPr="005807F1">
          <w:rPr>
            <w:rStyle w:val="Hyperlink"/>
            <w:szCs w:val="18"/>
          </w:rPr>
          <w:t>– Kosovo</w:t>
        </w:r>
      </w:hyperlink>
      <w:r w:rsidRPr="005807F1">
        <w:rPr>
          <w:szCs w:val="18"/>
        </w:rPr>
        <w:t>.</w:t>
      </w:r>
      <w:r>
        <w:rPr>
          <w:szCs w:val="18"/>
        </w:rPr>
        <w:t xml:space="preserve"> 2016, p. 37</w:t>
      </w:r>
      <w:r w:rsidRPr="005807F1">
        <w:rPr>
          <w:szCs w:val="18"/>
        </w:rPr>
        <w:t>.</w:t>
      </w:r>
    </w:p>
  </w:footnote>
  <w:footnote w:id="26">
    <w:p w14:paraId="3377C8D6" w14:textId="6DFBE343" w:rsidR="00C206CD" w:rsidRPr="00CE248B" w:rsidRDefault="00C206CD" w:rsidP="00D225D9">
      <w:pPr>
        <w:pStyle w:val="FootnoteText"/>
        <w:rPr>
          <w:szCs w:val="18"/>
        </w:rPr>
      </w:pPr>
      <w:r w:rsidRPr="00CE248B">
        <w:rPr>
          <w:rStyle w:val="FootnoteReference"/>
          <w:szCs w:val="18"/>
        </w:rPr>
        <w:footnoteRef/>
      </w:r>
      <w:r w:rsidRPr="00CE248B">
        <w:rPr>
          <w:szCs w:val="18"/>
        </w:rPr>
        <w:t xml:space="preserve"> </w:t>
      </w:r>
      <w:r>
        <w:rPr>
          <w:szCs w:val="18"/>
        </w:rPr>
        <w:t>Zyra e Kryeministrit</w:t>
      </w:r>
      <w:r w:rsidRPr="00CE248B">
        <w:rPr>
          <w:szCs w:val="18"/>
        </w:rPr>
        <w:t xml:space="preserve"> (</w:t>
      </w:r>
      <w:r>
        <w:rPr>
          <w:szCs w:val="18"/>
        </w:rPr>
        <w:t>ZKM</w:t>
      </w:r>
      <w:r w:rsidRPr="00CE248B">
        <w:rPr>
          <w:szCs w:val="18"/>
        </w:rPr>
        <w:t xml:space="preserve">). </w:t>
      </w:r>
      <w:hyperlink r:id="rId26" w:history="1">
        <w:r w:rsidRPr="00CE248B">
          <w:rPr>
            <w:rStyle w:val="Hyperlink"/>
            <w:szCs w:val="18"/>
          </w:rPr>
          <w:t xml:space="preserve">Government </w:t>
        </w:r>
        <w:r>
          <w:rPr>
            <w:rStyle w:val="Hyperlink"/>
            <w:szCs w:val="18"/>
          </w:rPr>
          <w:t>Raporti vjetor i punës së Qeverisë</w:t>
        </w:r>
        <w:r w:rsidRPr="00CE248B">
          <w:rPr>
            <w:rStyle w:val="Hyperlink"/>
            <w:szCs w:val="18"/>
          </w:rPr>
          <w:t xml:space="preserve"> 2016</w:t>
        </w:r>
      </w:hyperlink>
      <w:r w:rsidRPr="00CE248B">
        <w:rPr>
          <w:szCs w:val="18"/>
        </w:rPr>
        <w:t xml:space="preserve">. </w:t>
      </w:r>
      <w:r>
        <w:rPr>
          <w:szCs w:val="18"/>
        </w:rPr>
        <w:t>Shkurt</w:t>
      </w:r>
      <w:r w:rsidRPr="00CE248B">
        <w:rPr>
          <w:szCs w:val="18"/>
        </w:rPr>
        <w:t xml:space="preserve"> 2016, </w:t>
      </w:r>
      <w:r>
        <w:rPr>
          <w:szCs w:val="18"/>
        </w:rPr>
        <w:t>f</w:t>
      </w:r>
      <w:r w:rsidRPr="00CE248B">
        <w:rPr>
          <w:szCs w:val="18"/>
        </w:rPr>
        <w:t xml:space="preserve">. 19. </w:t>
      </w:r>
    </w:p>
  </w:footnote>
  <w:footnote w:id="27">
    <w:p w14:paraId="582D7217" w14:textId="6874655C" w:rsidR="00C206CD" w:rsidRDefault="00C206CD" w:rsidP="00D225D9">
      <w:pPr>
        <w:pStyle w:val="FootnoteText"/>
      </w:pPr>
      <w:r>
        <w:rPr>
          <w:rStyle w:val="FootnoteReference"/>
        </w:rPr>
        <w:footnoteRef/>
      </w:r>
      <w:r>
        <w:t xml:space="preserve"> </w:t>
      </w:r>
      <w:r w:rsidRPr="005807F1">
        <w:rPr>
          <w:szCs w:val="18"/>
        </w:rPr>
        <w:t xml:space="preserve">TACSO. </w:t>
      </w:r>
      <w:hyperlink r:id="rId27" w:history="1">
        <w:r>
          <w:rPr>
            <w:rStyle w:val="Hyperlink"/>
            <w:szCs w:val="18"/>
          </w:rPr>
          <w:t xml:space="preserve">Raporti i </w:t>
        </w:r>
        <w:r w:rsidRPr="00CC143F">
          <w:rPr>
            <w:rStyle w:val="Hyperlink"/>
            <w:szCs w:val="18"/>
          </w:rPr>
          <w:t>Nevojave për Vlerësim</w:t>
        </w:r>
        <w:r w:rsidRPr="005807F1">
          <w:rPr>
            <w:rStyle w:val="Hyperlink"/>
            <w:szCs w:val="18"/>
          </w:rPr>
          <w:t xml:space="preserve"> – Kosov</w:t>
        </w:r>
      </w:hyperlink>
      <w:r>
        <w:rPr>
          <w:rStyle w:val="Hyperlink"/>
          <w:szCs w:val="18"/>
        </w:rPr>
        <w:t>ë</w:t>
      </w:r>
      <w:r w:rsidRPr="005807F1">
        <w:rPr>
          <w:szCs w:val="18"/>
        </w:rPr>
        <w:t>.</w:t>
      </w:r>
      <w:r>
        <w:rPr>
          <w:szCs w:val="18"/>
        </w:rPr>
        <w:t xml:space="preserve"> 2016, f. 28</w:t>
      </w:r>
      <w:r w:rsidRPr="005807F1">
        <w:rPr>
          <w:szCs w:val="18"/>
        </w:rPr>
        <w:t>.</w:t>
      </w:r>
    </w:p>
  </w:footnote>
  <w:footnote w:id="28">
    <w:p w14:paraId="681E4112" w14:textId="67703AC7" w:rsidR="00C206CD" w:rsidRPr="00CE248B" w:rsidRDefault="00C206CD" w:rsidP="00D225D9">
      <w:pPr>
        <w:pStyle w:val="FootnoteText"/>
        <w:rPr>
          <w:szCs w:val="18"/>
        </w:rPr>
      </w:pPr>
      <w:r w:rsidRPr="00CE248B">
        <w:rPr>
          <w:rStyle w:val="FootnoteReference"/>
          <w:szCs w:val="18"/>
        </w:rPr>
        <w:footnoteRef/>
      </w:r>
      <w:r w:rsidRPr="00CE248B">
        <w:rPr>
          <w:szCs w:val="18"/>
        </w:rPr>
        <w:t xml:space="preserve"> MF. Reg</w:t>
      </w:r>
      <w:r>
        <w:rPr>
          <w:szCs w:val="18"/>
        </w:rPr>
        <w:t>ullorja</w:t>
      </w:r>
      <w:r w:rsidRPr="00CE248B">
        <w:rPr>
          <w:szCs w:val="18"/>
        </w:rPr>
        <w:t xml:space="preserve"> 04/2017 on </w:t>
      </w:r>
      <w:hyperlink r:id="rId28" w:history="1">
        <w:r>
          <w:rPr>
            <w:rStyle w:val="Hyperlink"/>
            <w:szCs w:val="18"/>
          </w:rPr>
          <w:t>Kriteret, Standardet dhe</w:t>
        </w:r>
        <w:r w:rsidRPr="00CE248B">
          <w:rPr>
            <w:rStyle w:val="Hyperlink"/>
            <w:szCs w:val="18"/>
          </w:rPr>
          <w:t xml:space="preserve"> Procedur</w:t>
        </w:r>
        <w:r>
          <w:rPr>
            <w:rStyle w:val="Hyperlink"/>
            <w:szCs w:val="18"/>
          </w:rPr>
          <w:t xml:space="preserve">at e Financimit </w:t>
        </w:r>
        <w:r w:rsidRPr="00CE248B">
          <w:rPr>
            <w:rStyle w:val="Hyperlink"/>
            <w:szCs w:val="18"/>
          </w:rPr>
          <w:t>Publi</w:t>
        </w:r>
        <w:r>
          <w:rPr>
            <w:rStyle w:val="Hyperlink"/>
            <w:szCs w:val="18"/>
          </w:rPr>
          <w:t>k për OJQ</w:t>
        </w:r>
      </w:hyperlink>
      <w:r w:rsidRPr="00CE248B">
        <w:rPr>
          <w:szCs w:val="18"/>
        </w:rPr>
        <w:t xml:space="preserve">. </w:t>
      </w:r>
      <w:r>
        <w:rPr>
          <w:b/>
          <w:szCs w:val="18"/>
        </w:rPr>
        <w:t>Neni</w:t>
      </w:r>
      <w:r w:rsidRPr="00CE248B">
        <w:rPr>
          <w:b/>
          <w:szCs w:val="18"/>
        </w:rPr>
        <w:t xml:space="preserve"> 1</w:t>
      </w:r>
      <w:r w:rsidRPr="00CE248B">
        <w:rPr>
          <w:szCs w:val="18"/>
        </w:rPr>
        <w:t xml:space="preserve">. </w:t>
      </w:r>
      <w:r>
        <w:rPr>
          <w:szCs w:val="18"/>
        </w:rPr>
        <w:t>13 Korrik</w:t>
      </w:r>
      <w:r w:rsidRPr="00CE248B">
        <w:rPr>
          <w:szCs w:val="18"/>
        </w:rPr>
        <w:t xml:space="preserve">, 2017, </w:t>
      </w:r>
      <w:r>
        <w:rPr>
          <w:szCs w:val="18"/>
        </w:rPr>
        <w:t>f</w:t>
      </w:r>
      <w:r w:rsidRPr="00CE248B">
        <w:rPr>
          <w:szCs w:val="18"/>
        </w:rPr>
        <w:t xml:space="preserve">. 2. </w:t>
      </w:r>
    </w:p>
  </w:footnote>
  <w:footnote w:id="29">
    <w:p w14:paraId="6E0927A0" w14:textId="0E6F1582" w:rsidR="00C206CD" w:rsidRDefault="00C206CD" w:rsidP="009A2547">
      <w:pPr>
        <w:pStyle w:val="FootnoteText"/>
      </w:pPr>
      <w:r>
        <w:rPr>
          <w:rStyle w:val="FootnoteReference"/>
        </w:rPr>
        <w:footnoteRef/>
      </w:r>
      <w:r>
        <w:t xml:space="preserve"> </w:t>
      </w:r>
      <w:r w:rsidRPr="00673B25">
        <w:rPr>
          <w:szCs w:val="18"/>
        </w:rPr>
        <w:t xml:space="preserve">CiviKos. </w:t>
      </w:r>
      <w:hyperlink r:id="rId29" w:history="1">
        <w:hyperlink r:id="rId30" w:history="1">
          <w:r w:rsidRPr="00976F5D">
            <w:rPr>
              <w:rStyle w:val="Hyperlink"/>
              <w:szCs w:val="18"/>
            </w:rPr>
            <w:t>Zbatimi i Strategjisë Qeveritare për Bashkëpunim me Shoqërinë Civile 2013-2016</w:t>
          </w:r>
        </w:hyperlink>
      </w:hyperlink>
      <w:r w:rsidRPr="00673B25">
        <w:rPr>
          <w:szCs w:val="18"/>
        </w:rPr>
        <w:t>.</w:t>
      </w:r>
      <w:r>
        <w:rPr>
          <w:szCs w:val="18"/>
        </w:rPr>
        <w:t xml:space="preserve"> 2016, f. 12.</w:t>
      </w:r>
    </w:p>
  </w:footnote>
  <w:footnote w:id="30">
    <w:p w14:paraId="7C8A94D7" w14:textId="409DE451" w:rsidR="00C206CD" w:rsidRDefault="00C206CD" w:rsidP="002877FD">
      <w:pPr>
        <w:pStyle w:val="FootnoteText"/>
      </w:pPr>
      <w:r>
        <w:rPr>
          <w:rStyle w:val="FootnoteReference"/>
        </w:rPr>
        <w:footnoteRef/>
      </w:r>
      <w:r>
        <w:t xml:space="preserve"> </w:t>
      </w:r>
      <w:r w:rsidRPr="00673B25">
        <w:rPr>
          <w:szCs w:val="18"/>
        </w:rPr>
        <w:t xml:space="preserve">CiviKos. </w:t>
      </w:r>
      <w:hyperlink r:id="rId31"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r>
        <w:rPr>
          <w:szCs w:val="18"/>
        </w:rPr>
        <w:t>. 2016, f. 7.</w:t>
      </w:r>
    </w:p>
  </w:footnote>
  <w:footnote w:id="31">
    <w:p w14:paraId="63B3E130" w14:textId="27E6A66C" w:rsidR="00C206CD" w:rsidRDefault="00C206CD" w:rsidP="00F21220">
      <w:pPr>
        <w:pStyle w:val="FootnoteText"/>
      </w:pPr>
      <w:r>
        <w:rPr>
          <w:rStyle w:val="FootnoteReference"/>
        </w:rPr>
        <w:footnoteRef/>
      </w:r>
      <w:r>
        <w:t xml:space="preserve"> </w:t>
      </w:r>
      <w:r w:rsidRPr="00673B25">
        <w:rPr>
          <w:szCs w:val="18"/>
        </w:rPr>
        <w:t xml:space="preserve">CiviKos. </w:t>
      </w:r>
      <w:hyperlink r:id="rId32"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r>
        <w:rPr>
          <w:szCs w:val="18"/>
        </w:rPr>
        <w:t>. 2016, f. 8.</w:t>
      </w:r>
    </w:p>
  </w:footnote>
  <w:footnote w:id="32">
    <w:p w14:paraId="44371E63" w14:textId="4B9524C4" w:rsidR="00C206CD" w:rsidRDefault="00C206CD" w:rsidP="00F21220">
      <w:pPr>
        <w:pStyle w:val="FootnoteText"/>
      </w:pPr>
      <w:r>
        <w:rPr>
          <w:rStyle w:val="FootnoteReference"/>
        </w:rPr>
        <w:footnoteRef/>
      </w:r>
      <w:r>
        <w:t xml:space="preserve"> Hajredini, Habit. Zyra për Qeverisje t</w:t>
      </w:r>
      <w:r>
        <w:rPr>
          <w:lang w:val="sq-AL"/>
        </w:rPr>
        <w:t xml:space="preserve">ë Mirë </w:t>
      </w:r>
      <w:r>
        <w:t xml:space="preserve">(ZQM). Intervistë. 25 Gusht, 2017. </w:t>
      </w:r>
    </w:p>
  </w:footnote>
  <w:footnote w:id="33">
    <w:p w14:paraId="792AD8B2" w14:textId="3DD9EA96" w:rsidR="00C206CD" w:rsidRDefault="00C206CD" w:rsidP="00F21220">
      <w:pPr>
        <w:pStyle w:val="FootnoteText"/>
      </w:pPr>
      <w:r>
        <w:rPr>
          <w:rStyle w:val="FootnoteReference"/>
        </w:rPr>
        <w:footnoteRef/>
      </w:r>
      <w:r>
        <w:t xml:space="preserve"> </w:t>
      </w:r>
      <w:r w:rsidRPr="00673B25">
        <w:rPr>
          <w:szCs w:val="18"/>
        </w:rPr>
        <w:t xml:space="preserve">CiviKos. </w:t>
      </w:r>
      <w:hyperlink r:id="rId33"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r>
        <w:rPr>
          <w:szCs w:val="18"/>
        </w:rPr>
        <w:t>. 2016, f. 9.</w:t>
      </w:r>
    </w:p>
  </w:footnote>
  <w:footnote w:id="34">
    <w:p w14:paraId="3560EA22" w14:textId="7B305D78" w:rsidR="00C206CD" w:rsidRDefault="00C206CD" w:rsidP="00F21220">
      <w:pPr>
        <w:pStyle w:val="FootnoteText"/>
      </w:pPr>
      <w:r>
        <w:rPr>
          <w:rStyle w:val="FootnoteReference"/>
        </w:rPr>
        <w:footnoteRef/>
      </w:r>
      <w:r>
        <w:t xml:space="preserve"> </w:t>
      </w:r>
      <w:r w:rsidRPr="00673B25">
        <w:rPr>
          <w:szCs w:val="18"/>
        </w:rPr>
        <w:t xml:space="preserve">CiviKos. </w:t>
      </w:r>
      <w:hyperlink r:id="rId34"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r>
        <w:rPr>
          <w:szCs w:val="18"/>
        </w:rPr>
        <w:t>. 2016, f. 9.</w:t>
      </w:r>
    </w:p>
  </w:footnote>
  <w:footnote w:id="35">
    <w:p w14:paraId="59AA6599" w14:textId="77777777" w:rsidR="00C206CD" w:rsidRDefault="00C206CD" w:rsidP="002C2CA9">
      <w:pPr>
        <w:pStyle w:val="FootnoteText"/>
      </w:pPr>
      <w:r>
        <w:rPr>
          <w:rStyle w:val="FootnoteReference"/>
        </w:rPr>
        <w:footnoteRef/>
      </w:r>
      <w:r>
        <w:t xml:space="preserve"> European Commission (EC). </w:t>
      </w:r>
      <w:hyperlink r:id="rId35" w:history="1">
        <w:r w:rsidRPr="001D2CAC">
          <w:rPr>
            <w:rStyle w:val="Hyperlink"/>
          </w:rPr>
          <w:t>Kosovo 2016 Progress Report</w:t>
        </w:r>
      </w:hyperlink>
      <w:r>
        <w:t xml:space="preserve">. November 9, 2016, p. 9. </w:t>
      </w:r>
    </w:p>
  </w:footnote>
  <w:footnote w:id="36">
    <w:p w14:paraId="027B32FF" w14:textId="68F79DC4" w:rsidR="00C206CD" w:rsidRDefault="00C206CD" w:rsidP="002C2CA9">
      <w:pPr>
        <w:pStyle w:val="FootnoteText"/>
      </w:pPr>
      <w:r>
        <w:rPr>
          <w:rStyle w:val="FootnoteReference"/>
        </w:rPr>
        <w:footnoteRef/>
      </w:r>
      <w:r>
        <w:t xml:space="preserve"> </w:t>
      </w:r>
      <w:r w:rsidRPr="00673B25">
        <w:rPr>
          <w:szCs w:val="18"/>
        </w:rPr>
        <w:t xml:space="preserve">CiviKos. </w:t>
      </w:r>
      <w:hyperlink r:id="rId36"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r>
        <w:rPr>
          <w:szCs w:val="18"/>
        </w:rPr>
        <w:t>. 2016, f. 9.</w:t>
      </w:r>
    </w:p>
  </w:footnote>
  <w:footnote w:id="37">
    <w:p w14:paraId="1A0DBDB9" w14:textId="5CD2EDC7" w:rsidR="00C206CD" w:rsidRDefault="00C206CD" w:rsidP="002C2CA9">
      <w:pPr>
        <w:pStyle w:val="FootnoteText"/>
      </w:pPr>
      <w:r>
        <w:rPr>
          <w:rStyle w:val="FootnoteReference"/>
        </w:rPr>
        <w:footnoteRef/>
      </w:r>
      <w:r>
        <w:t xml:space="preserve"> </w:t>
      </w:r>
      <w:r w:rsidRPr="00673B25">
        <w:rPr>
          <w:szCs w:val="18"/>
        </w:rPr>
        <w:t xml:space="preserve">CiviKos. </w:t>
      </w:r>
      <w:hyperlink r:id="rId37"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r>
        <w:rPr>
          <w:szCs w:val="18"/>
        </w:rPr>
        <w:t>. 2016, f. 10.</w:t>
      </w:r>
    </w:p>
  </w:footnote>
  <w:footnote w:id="38">
    <w:p w14:paraId="56FA9236" w14:textId="75FE2D5F" w:rsidR="00C206CD" w:rsidRDefault="00C206CD" w:rsidP="006F6915">
      <w:pPr>
        <w:pStyle w:val="FootnoteText"/>
      </w:pPr>
      <w:r>
        <w:rPr>
          <w:rStyle w:val="FootnoteReference"/>
        </w:rPr>
        <w:footnoteRef/>
      </w:r>
      <w:r>
        <w:t xml:space="preserve"> </w:t>
      </w:r>
      <w:r w:rsidRPr="00673B25">
        <w:rPr>
          <w:szCs w:val="18"/>
        </w:rPr>
        <w:t xml:space="preserve">CiviKos. </w:t>
      </w:r>
      <w:hyperlink r:id="rId38" w:history="1">
        <w:r w:rsidRPr="00150454">
          <w:rPr>
            <w:rStyle w:val="Hyperlink"/>
            <w:szCs w:val="18"/>
          </w:rPr>
          <w:t>T</w:t>
        </w:r>
        <w:hyperlink r:id="rId39" w:history="1">
          <w:r>
            <w:rPr>
              <w:rStyle w:val="Hyperlink"/>
              <w:szCs w:val="18"/>
            </w:rPr>
            <w:t>Z</w:t>
          </w:r>
          <w:r w:rsidRPr="002877FD">
            <w:rPr>
              <w:rStyle w:val="Hyperlink"/>
              <w:szCs w:val="18"/>
            </w:rPr>
            <w:t>batimi i Strategjisë Qeveritare për Bashkëpunim me Shoqërinë Civile 2013-201</w:t>
          </w:r>
        </w:hyperlink>
        <w:r>
          <w:rPr>
            <w:rStyle w:val="Hyperlink"/>
            <w:szCs w:val="18"/>
          </w:rPr>
          <w:t>6</w:t>
        </w:r>
      </w:hyperlink>
      <w:r>
        <w:rPr>
          <w:szCs w:val="18"/>
        </w:rPr>
        <w:t>. 2016, f. 10.</w:t>
      </w:r>
    </w:p>
  </w:footnote>
  <w:footnote w:id="39">
    <w:p w14:paraId="6F5F90B9" w14:textId="71AB36A5" w:rsidR="00C206CD" w:rsidRDefault="00C206CD" w:rsidP="003C12B3">
      <w:pPr>
        <w:pStyle w:val="FootnoteText"/>
      </w:pPr>
      <w:r>
        <w:rPr>
          <w:rStyle w:val="FootnoteReference"/>
        </w:rPr>
        <w:footnoteRef/>
      </w:r>
      <w:r>
        <w:t xml:space="preserve"> Komisioni Evropian (KE). </w:t>
      </w:r>
      <w:hyperlink r:id="rId40" w:history="1">
        <w:r w:rsidRPr="001D2CAC">
          <w:rPr>
            <w:rStyle w:val="Hyperlink"/>
          </w:rPr>
          <w:t xml:space="preserve">Kosovo </w:t>
        </w:r>
        <w:r>
          <w:rPr>
            <w:rStyle w:val="Hyperlink"/>
          </w:rPr>
          <w:t xml:space="preserve">Raporti i Progresit për Kosovën </w:t>
        </w:r>
        <w:r w:rsidRPr="001D2CAC">
          <w:rPr>
            <w:rStyle w:val="Hyperlink"/>
          </w:rPr>
          <w:t>2016</w:t>
        </w:r>
      </w:hyperlink>
      <w:r>
        <w:t>. 9 Nëntor 9, 2016, f. 9.</w:t>
      </w:r>
    </w:p>
  </w:footnote>
  <w:footnote w:id="40">
    <w:p w14:paraId="5B831628" w14:textId="3D68E756" w:rsidR="00C206CD" w:rsidRDefault="00C206CD" w:rsidP="00D40E97">
      <w:pPr>
        <w:pStyle w:val="FootnoteText"/>
      </w:pPr>
      <w:r>
        <w:rPr>
          <w:rStyle w:val="FootnoteReference"/>
        </w:rPr>
        <w:footnoteRef/>
      </w:r>
      <w:r>
        <w:t xml:space="preserve"> Komisioni Evropian (KE). </w:t>
      </w:r>
      <w:hyperlink r:id="rId41" w:history="1">
        <w:r w:rsidRPr="001D2CAC">
          <w:rPr>
            <w:rStyle w:val="Hyperlink"/>
          </w:rPr>
          <w:t xml:space="preserve">Kosovo </w:t>
        </w:r>
        <w:r>
          <w:rPr>
            <w:rStyle w:val="Hyperlink"/>
          </w:rPr>
          <w:t xml:space="preserve">Raporti i Progresit për Kosovën </w:t>
        </w:r>
        <w:r w:rsidRPr="001D2CAC">
          <w:rPr>
            <w:rStyle w:val="Hyperlink"/>
          </w:rPr>
          <w:t>2016</w:t>
        </w:r>
      </w:hyperlink>
      <w:r>
        <w:t>. 9 Nëntor 9, 2016, f. 4-5.</w:t>
      </w:r>
    </w:p>
  </w:footnote>
  <w:footnote w:id="41">
    <w:p w14:paraId="26B89317" w14:textId="4EA21FBE" w:rsidR="00C206CD" w:rsidRDefault="00C206CD" w:rsidP="006018BC">
      <w:pPr>
        <w:pStyle w:val="FootnoteText"/>
      </w:pPr>
      <w:r>
        <w:rPr>
          <w:rStyle w:val="FootnoteReference"/>
        </w:rPr>
        <w:footnoteRef/>
      </w:r>
      <w:r>
        <w:t xml:space="preserve"> Komisioni Evropian (KE). </w:t>
      </w:r>
      <w:hyperlink r:id="rId42" w:history="1">
        <w:r w:rsidRPr="001D2CAC">
          <w:rPr>
            <w:rStyle w:val="Hyperlink"/>
          </w:rPr>
          <w:t xml:space="preserve">Kosovo </w:t>
        </w:r>
        <w:r>
          <w:rPr>
            <w:rStyle w:val="Hyperlink"/>
          </w:rPr>
          <w:t xml:space="preserve">Raporti i Progresit për Kosovën </w:t>
        </w:r>
        <w:r w:rsidRPr="001D2CAC">
          <w:rPr>
            <w:rStyle w:val="Hyperlink"/>
          </w:rPr>
          <w:t>2016</w:t>
        </w:r>
      </w:hyperlink>
      <w:r>
        <w:t xml:space="preserve">. 9 </w:t>
      </w:r>
      <w:proofErr w:type="gramStart"/>
      <w:r>
        <w:t>Nëntor ,</w:t>
      </w:r>
      <w:proofErr w:type="gramEnd"/>
      <w:r>
        <w:t xml:space="preserve"> 2016, f. 5-6.</w:t>
      </w:r>
    </w:p>
  </w:footnote>
  <w:footnote w:id="42">
    <w:p w14:paraId="71E3B318" w14:textId="0A24D430" w:rsidR="00C206CD" w:rsidRDefault="00C206CD" w:rsidP="006018BC">
      <w:pPr>
        <w:pStyle w:val="FootnoteText"/>
      </w:pPr>
      <w:r>
        <w:rPr>
          <w:rStyle w:val="FootnoteReference"/>
        </w:rPr>
        <w:footnoteRef/>
      </w:r>
      <w:r>
        <w:t xml:space="preserve"> </w:t>
      </w:r>
      <w:r w:rsidRPr="008C4D90">
        <w:rPr>
          <w:szCs w:val="18"/>
        </w:rPr>
        <w:t>Zyra për Qeverisje të Mirë</w:t>
      </w:r>
      <w:r w:rsidRPr="008139DD">
        <w:rPr>
          <w:szCs w:val="18"/>
        </w:rPr>
        <w:t xml:space="preserve">. </w:t>
      </w:r>
      <w:hyperlink r:id="rId43" w:history="1">
        <w:r w:rsidRPr="008C4D90">
          <w:rPr>
            <w:rStyle w:val="Hyperlink"/>
            <w:szCs w:val="18"/>
          </w:rPr>
          <w:t>Strategjia e Qeverisë për Bashkëpunim me Shoqërinë Civile</w:t>
        </w:r>
      </w:hyperlink>
      <w:r>
        <w:rPr>
          <w:szCs w:val="18"/>
        </w:rPr>
        <w:t>. 2013, f</w:t>
      </w:r>
      <w:r w:rsidRPr="008139DD">
        <w:rPr>
          <w:szCs w:val="18"/>
        </w:rPr>
        <w:t>. 2</w:t>
      </w:r>
      <w:r>
        <w:rPr>
          <w:szCs w:val="18"/>
        </w:rPr>
        <w:t>0</w:t>
      </w:r>
      <w:r w:rsidRPr="008139DD">
        <w:rPr>
          <w:szCs w:val="18"/>
        </w:rPr>
        <w:t>.</w:t>
      </w:r>
    </w:p>
  </w:footnote>
  <w:footnote w:id="43">
    <w:p w14:paraId="3B0B6197" w14:textId="46E2FD2F" w:rsidR="00C206CD" w:rsidRDefault="00C206CD" w:rsidP="008C4D90">
      <w:pPr>
        <w:pStyle w:val="FootnoteText"/>
      </w:pPr>
      <w:r>
        <w:rPr>
          <w:rStyle w:val="FootnoteReference"/>
        </w:rPr>
        <w:footnoteRef/>
      </w:r>
      <w:r>
        <w:t xml:space="preserve"> Komisioni Evropian (KE). </w:t>
      </w:r>
      <w:hyperlink r:id="rId44" w:history="1">
        <w:r w:rsidRPr="001D2CAC">
          <w:rPr>
            <w:rStyle w:val="Hyperlink"/>
          </w:rPr>
          <w:t xml:space="preserve">Kosovo </w:t>
        </w:r>
        <w:r>
          <w:rPr>
            <w:rStyle w:val="Hyperlink"/>
          </w:rPr>
          <w:t xml:space="preserve">Raporti i Progresit për Kosovën </w:t>
        </w:r>
        <w:r w:rsidRPr="001D2CAC">
          <w:rPr>
            <w:rStyle w:val="Hyperlink"/>
          </w:rPr>
          <w:t>2016</w:t>
        </w:r>
      </w:hyperlink>
      <w:r>
        <w:t>. 9 Nëntor, 2016, f. 6.</w:t>
      </w:r>
    </w:p>
  </w:footnote>
  <w:footnote w:id="44">
    <w:p w14:paraId="5ECFD8DC" w14:textId="1BA91DBD" w:rsidR="00C206CD" w:rsidRDefault="00C206CD" w:rsidP="008C4D90">
      <w:pPr>
        <w:pStyle w:val="FootnoteText"/>
      </w:pPr>
      <w:r>
        <w:rPr>
          <w:rStyle w:val="FootnoteReference"/>
        </w:rPr>
        <w:footnoteRef/>
      </w:r>
      <w:r>
        <w:t xml:space="preserve"> EC. </w:t>
      </w:r>
      <w:hyperlink r:id="rId45" w:history="1">
        <w:r w:rsidRPr="00D97936">
          <w:rPr>
            <w:rStyle w:val="Hyperlink"/>
          </w:rPr>
          <w:t>Udhëzimet për Zgjerimin të Drejtorisë së Përgjithshme të Zgjerimit për mbështetje nga BE për Shoqërinë Civile në vendet e Zgjerimit</w:t>
        </w:r>
      </w:hyperlink>
      <w:r>
        <w:t xml:space="preserve">. Pa datë, f. 1. </w:t>
      </w:r>
    </w:p>
  </w:footnote>
  <w:footnote w:id="45">
    <w:p w14:paraId="2958EF8D" w14:textId="2139B666" w:rsidR="00C206CD" w:rsidRDefault="00C206CD" w:rsidP="008C4D90">
      <w:pPr>
        <w:pStyle w:val="FootnoteText"/>
      </w:pPr>
      <w:r>
        <w:rPr>
          <w:rStyle w:val="FootnoteReference"/>
        </w:rPr>
        <w:footnoteRef/>
      </w:r>
      <w:r>
        <w:t xml:space="preserve"> Komisioni Evropian (KE). </w:t>
      </w:r>
      <w:hyperlink r:id="rId46" w:history="1">
        <w:r w:rsidRPr="001D2CAC">
          <w:rPr>
            <w:rStyle w:val="Hyperlink"/>
          </w:rPr>
          <w:t xml:space="preserve">Kosovo </w:t>
        </w:r>
        <w:r>
          <w:rPr>
            <w:rStyle w:val="Hyperlink"/>
          </w:rPr>
          <w:t xml:space="preserve">Raporti i Progresit për Kosovën </w:t>
        </w:r>
        <w:r w:rsidRPr="001D2CAC">
          <w:rPr>
            <w:rStyle w:val="Hyperlink"/>
          </w:rPr>
          <w:t>2016</w:t>
        </w:r>
      </w:hyperlink>
      <w:r>
        <w:t>. 9 Nëntor, 2016, f. 6.</w:t>
      </w:r>
    </w:p>
  </w:footnote>
  <w:footnote w:id="46">
    <w:p w14:paraId="5B31DF44" w14:textId="77777777" w:rsidR="00C206CD" w:rsidRDefault="00C206CD" w:rsidP="008216D8">
      <w:pPr>
        <w:pStyle w:val="FootnoteText"/>
      </w:pPr>
      <w:r>
        <w:rPr>
          <w:rStyle w:val="FootnoteReference"/>
        </w:rPr>
        <w:footnoteRef/>
      </w:r>
      <w:r>
        <w:t xml:space="preserve"> EC. </w:t>
      </w:r>
      <w:hyperlink r:id="rId47" w:history="1">
        <w:r w:rsidRPr="00844F65">
          <w:rPr>
            <w:rStyle w:val="Hyperlink"/>
          </w:rPr>
          <w:t>DG Enlargement Guidelines for EU Support to Civil Society in Enlargement Countries</w:t>
        </w:r>
      </w:hyperlink>
      <w:r>
        <w:t>. No date, p. 2.</w:t>
      </w:r>
    </w:p>
  </w:footnote>
  <w:footnote w:id="47">
    <w:p w14:paraId="5F35FB12" w14:textId="77777777" w:rsidR="00C206CD" w:rsidRDefault="00C206CD" w:rsidP="008C177E">
      <w:pPr>
        <w:pStyle w:val="FootnoteText"/>
      </w:pPr>
      <w:r>
        <w:rPr>
          <w:rStyle w:val="FootnoteReference"/>
        </w:rPr>
        <w:footnoteRef/>
      </w:r>
      <w:r>
        <w:t xml:space="preserve"> European Commission (EC). </w:t>
      </w:r>
      <w:hyperlink r:id="rId48" w:history="1">
        <w:r w:rsidRPr="001D2CAC">
          <w:rPr>
            <w:rStyle w:val="Hyperlink"/>
          </w:rPr>
          <w:t>Kosovo 2016 Progress Report</w:t>
        </w:r>
      </w:hyperlink>
      <w:r>
        <w:t>. November 9, 2016, p. 9.</w:t>
      </w:r>
    </w:p>
  </w:footnote>
  <w:footnote w:id="48">
    <w:p w14:paraId="5660CAB2" w14:textId="77777777" w:rsidR="00C206CD" w:rsidRDefault="00C206CD" w:rsidP="00D3149B">
      <w:pPr>
        <w:pStyle w:val="FootnoteText"/>
      </w:pPr>
      <w:r>
        <w:rPr>
          <w:rStyle w:val="FootnoteReference"/>
        </w:rPr>
        <w:footnoteRef/>
      </w:r>
      <w:r>
        <w:t xml:space="preserve"> EC. </w:t>
      </w:r>
      <w:hyperlink r:id="rId49" w:history="1">
        <w:r w:rsidRPr="00844F65">
          <w:rPr>
            <w:rStyle w:val="Hyperlink"/>
          </w:rPr>
          <w:t>DG Enlargement Guidelines for EU Support to Civil Society in Enlargement Countries</w:t>
        </w:r>
      </w:hyperlink>
      <w:r>
        <w:t>. No date, p. 3.</w:t>
      </w:r>
    </w:p>
  </w:footnote>
  <w:footnote w:id="49">
    <w:p w14:paraId="5B9AF8D5" w14:textId="77777777" w:rsidR="00C206CD" w:rsidRPr="001B43D5" w:rsidRDefault="00C206CD" w:rsidP="00F17CC9">
      <w:pPr>
        <w:pStyle w:val="FootnoteText"/>
        <w:rPr>
          <w:szCs w:val="17"/>
        </w:rPr>
      </w:pPr>
      <w:r w:rsidRPr="001B43D5">
        <w:rPr>
          <w:rStyle w:val="FootnoteReference"/>
          <w:szCs w:val="17"/>
        </w:rPr>
        <w:footnoteRef/>
      </w:r>
      <w:r w:rsidRPr="001B43D5">
        <w:rPr>
          <w:szCs w:val="17"/>
        </w:rPr>
        <w:t xml:space="preserve"> Republic of Kosovo. </w:t>
      </w:r>
      <w:r w:rsidRPr="001B43D5">
        <w:rPr>
          <w:rStyle w:val="Hyperlink"/>
          <w:szCs w:val="17"/>
        </w:rPr>
        <w:t>Program of the Government 2015-2018</w:t>
      </w:r>
      <w:r w:rsidRPr="001B43D5">
        <w:rPr>
          <w:szCs w:val="17"/>
        </w:rPr>
        <w:t xml:space="preserve">. February 2015, p. 5. </w:t>
      </w:r>
    </w:p>
  </w:footnote>
  <w:footnote w:id="50">
    <w:p w14:paraId="000C6246" w14:textId="77777777" w:rsidR="00C206CD" w:rsidRPr="001B43D5" w:rsidRDefault="00C206CD" w:rsidP="00F17CC9">
      <w:pPr>
        <w:pStyle w:val="FootnoteText"/>
        <w:rPr>
          <w:szCs w:val="17"/>
        </w:rPr>
      </w:pPr>
      <w:r w:rsidRPr="001B43D5">
        <w:rPr>
          <w:rStyle w:val="FootnoteReference"/>
          <w:szCs w:val="17"/>
        </w:rPr>
        <w:footnoteRef/>
      </w:r>
      <w:r w:rsidRPr="001B43D5">
        <w:rPr>
          <w:szCs w:val="17"/>
        </w:rPr>
        <w:t xml:space="preserve"> Republic of Kosovo. </w:t>
      </w:r>
      <w:hyperlink r:id="rId50" w:history="1">
        <w:r w:rsidRPr="001B43D5">
          <w:rPr>
            <w:rStyle w:val="Hyperlink"/>
            <w:szCs w:val="17"/>
          </w:rPr>
          <w:t>Program of the Government 2015-2018</w:t>
        </w:r>
      </w:hyperlink>
      <w:r w:rsidRPr="001B43D5">
        <w:rPr>
          <w:szCs w:val="17"/>
        </w:rPr>
        <w:t xml:space="preserve">. February 2015, p. 40. </w:t>
      </w:r>
    </w:p>
  </w:footnote>
  <w:footnote w:id="51">
    <w:p w14:paraId="44B58356" w14:textId="77777777" w:rsidR="00C206CD" w:rsidRPr="001B43D5" w:rsidRDefault="00C206CD" w:rsidP="00F17CC9">
      <w:pPr>
        <w:pStyle w:val="FootnoteText"/>
        <w:rPr>
          <w:szCs w:val="17"/>
        </w:rPr>
      </w:pPr>
      <w:r w:rsidRPr="001B43D5">
        <w:rPr>
          <w:rStyle w:val="FootnoteReference"/>
          <w:szCs w:val="17"/>
        </w:rPr>
        <w:footnoteRef/>
      </w:r>
      <w:r w:rsidRPr="001B43D5">
        <w:rPr>
          <w:szCs w:val="17"/>
        </w:rPr>
        <w:t xml:space="preserve"> Republic of Kosovo. </w:t>
      </w:r>
      <w:r w:rsidRPr="001B43D5">
        <w:rPr>
          <w:rStyle w:val="Hyperlink"/>
          <w:szCs w:val="17"/>
        </w:rPr>
        <w:t>Program of the Government 2015-2018</w:t>
      </w:r>
      <w:r w:rsidRPr="001B43D5">
        <w:rPr>
          <w:szCs w:val="17"/>
        </w:rPr>
        <w:t xml:space="preserve">. February 2015, p. 37. </w:t>
      </w:r>
    </w:p>
  </w:footnote>
  <w:footnote w:id="52">
    <w:p w14:paraId="55CF97BE" w14:textId="77777777" w:rsidR="00C206CD" w:rsidRPr="001B43D5" w:rsidRDefault="00C206CD" w:rsidP="00323265">
      <w:pPr>
        <w:pStyle w:val="FootnoteText"/>
        <w:rPr>
          <w:szCs w:val="17"/>
        </w:rPr>
      </w:pPr>
      <w:r w:rsidRPr="001B43D5">
        <w:rPr>
          <w:rStyle w:val="FootnoteReference"/>
          <w:szCs w:val="17"/>
        </w:rPr>
        <w:footnoteRef/>
      </w:r>
      <w:r w:rsidRPr="001B43D5">
        <w:rPr>
          <w:szCs w:val="17"/>
        </w:rPr>
        <w:t xml:space="preserve"> Office of Prime Minister (OPM). </w:t>
      </w:r>
      <w:hyperlink r:id="rId51" w:history="1">
        <w:r w:rsidRPr="001B43D5">
          <w:rPr>
            <w:rStyle w:val="Hyperlink"/>
            <w:szCs w:val="17"/>
          </w:rPr>
          <w:t>National Development Strategy (NDS) 2016-2021</w:t>
        </w:r>
      </w:hyperlink>
      <w:r w:rsidRPr="001B43D5">
        <w:rPr>
          <w:szCs w:val="17"/>
        </w:rPr>
        <w:t xml:space="preserve">. January 2016, p. 55. </w:t>
      </w:r>
    </w:p>
  </w:footnote>
  <w:footnote w:id="53">
    <w:p w14:paraId="29DBC8C6" w14:textId="77777777" w:rsidR="00C206CD" w:rsidRPr="001B43D5" w:rsidRDefault="00C206CD" w:rsidP="008E345A">
      <w:pPr>
        <w:pStyle w:val="FootnoteText"/>
        <w:rPr>
          <w:szCs w:val="17"/>
        </w:rPr>
      </w:pPr>
      <w:r w:rsidRPr="001B43D5">
        <w:rPr>
          <w:rStyle w:val="FootnoteReference"/>
          <w:szCs w:val="17"/>
        </w:rPr>
        <w:footnoteRef/>
      </w:r>
      <w:r w:rsidRPr="001B43D5">
        <w:rPr>
          <w:szCs w:val="17"/>
        </w:rPr>
        <w:t xml:space="preserve"> Ministry of Public Administration. </w:t>
      </w:r>
      <w:hyperlink r:id="rId52" w:history="1">
        <w:r w:rsidRPr="001B43D5">
          <w:rPr>
            <w:rStyle w:val="Hyperlink"/>
            <w:rFonts w:cs="Arial"/>
            <w:szCs w:val="17"/>
          </w:rPr>
          <w:t>Strategy on Modernization of Public Administration</w:t>
        </w:r>
      </w:hyperlink>
      <w:r w:rsidRPr="001B43D5">
        <w:rPr>
          <w:szCs w:val="17"/>
        </w:rPr>
        <w:t>. 2015-2020. September 2015, p. 29</w:t>
      </w:r>
    </w:p>
  </w:footnote>
  <w:footnote w:id="54">
    <w:p w14:paraId="0FD6CB57" w14:textId="77777777" w:rsidR="00C206CD" w:rsidRPr="001B43D5" w:rsidRDefault="00C206CD" w:rsidP="00EF5BB9">
      <w:pPr>
        <w:pStyle w:val="FootnoteText"/>
        <w:rPr>
          <w:szCs w:val="17"/>
        </w:rPr>
      </w:pPr>
      <w:r w:rsidRPr="001B43D5">
        <w:rPr>
          <w:rStyle w:val="FootnoteReference"/>
          <w:szCs w:val="17"/>
        </w:rPr>
        <w:footnoteRef/>
      </w:r>
      <w:r w:rsidRPr="001B43D5">
        <w:rPr>
          <w:szCs w:val="17"/>
        </w:rPr>
        <w:t xml:space="preserve"> Government. </w:t>
      </w:r>
      <w:hyperlink r:id="rId53" w:history="1">
        <w:r w:rsidRPr="001B43D5">
          <w:rPr>
            <w:rStyle w:val="Hyperlink"/>
            <w:szCs w:val="17"/>
          </w:rPr>
          <w:t>Better Regulation Strategy 2014-2020</w:t>
        </w:r>
      </w:hyperlink>
      <w:r w:rsidRPr="001B43D5">
        <w:rPr>
          <w:szCs w:val="17"/>
        </w:rPr>
        <w:t xml:space="preserve">. May 23, 2014, p. 3. </w:t>
      </w:r>
    </w:p>
  </w:footnote>
  <w:footnote w:id="55">
    <w:p w14:paraId="1A1E24E1" w14:textId="77777777" w:rsidR="00C206CD" w:rsidRPr="001B43D5" w:rsidRDefault="00C206CD" w:rsidP="00EF5BB9">
      <w:pPr>
        <w:pStyle w:val="FootnoteText"/>
        <w:rPr>
          <w:szCs w:val="17"/>
        </w:rPr>
      </w:pPr>
      <w:r w:rsidRPr="001B43D5">
        <w:rPr>
          <w:rStyle w:val="FootnoteReference"/>
          <w:szCs w:val="17"/>
        </w:rPr>
        <w:footnoteRef/>
      </w:r>
      <w:r w:rsidRPr="001B43D5">
        <w:rPr>
          <w:szCs w:val="17"/>
        </w:rPr>
        <w:t xml:space="preserve"> Government. </w:t>
      </w:r>
      <w:hyperlink r:id="rId54" w:history="1">
        <w:r w:rsidRPr="001B43D5">
          <w:rPr>
            <w:rStyle w:val="Hyperlink"/>
            <w:szCs w:val="17"/>
          </w:rPr>
          <w:t>Better Regulation Strategy 2014-2020</w:t>
        </w:r>
      </w:hyperlink>
      <w:r w:rsidRPr="001B43D5">
        <w:rPr>
          <w:szCs w:val="17"/>
        </w:rPr>
        <w:t>. May 23, 2014, p. 17.</w:t>
      </w:r>
    </w:p>
  </w:footnote>
  <w:footnote w:id="56">
    <w:p w14:paraId="6D35AF3B" w14:textId="77777777" w:rsidR="00C206CD" w:rsidRPr="001B43D5" w:rsidRDefault="00C206CD" w:rsidP="00EF5BB9">
      <w:pPr>
        <w:pStyle w:val="FootnoteText"/>
        <w:rPr>
          <w:szCs w:val="17"/>
        </w:rPr>
      </w:pPr>
      <w:r w:rsidRPr="001B43D5">
        <w:rPr>
          <w:rStyle w:val="FootnoteReference"/>
          <w:szCs w:val="17"/>
        </w:rPr>
        <w:footnoteRef/>
      </w:r>
      <w:r w:rsidRPr="001B43D5">
        <w:rPr>
          <w:szCs w:val="17"/>
        </w:rPr>
        <w:t xml:space="preserve"> Government. </w:t>
      </w:r>
      <w:hyperlink r:id="rId55" w:history="1">
        <w:r w:rsidRPr="001B43D5">
          <w:rPr>
            <w:rStyle w:val="Hyperlink"/>
            <w:rFonts w:cs="Arial"/>
            <w:szCs w:val="17"/>
          </w:rPr>
          <w:t>National Program for the Implementation of the Stabilization and Association Agreement</w:t>
        </w:r>
      </w:hyperlink>
      <w:r>
        <w:rPr>
          <w:szCs w:val="17"/>
        </w:rPr>
        <w:t>. March 2016, p. 26.</w:t>
      </w:r>
    </w:p>
  </w:footnote>
  <w:footnote w:id="57">
    <w:p w14:paraId="2E8BA0BA" w14:textId="77777777" w:rsidR="00C206CD" w:rsidRDefault="00C206CD" w:rsidP="007166BD">
      <w:pPr>
        <w:pStyle w:val="FootnoteText"/>
      </w:pPr>
      <w:r>
        <w:rPr>
          <w:rStyle w:val="FootnoteReference"/>
        </w:rPr>
        <w:footnoteRef/>
      </w:r>
      <w:r>
        <w:t xml:space="preserve"> European Commission (EC). </w:t>
      </w:r>
      <w:hyperlink r:id="rId56" w:history="1">
        <w:r w:rsidRPr="00C768D7">
          <w:rPr>
            <w:rStyle w:val="Hyperlink"/>
          </w:rPr>
          <w:t>2016 Communication on EU Enlargement Policy</w:t>
        </w:r>
      </w:hyperlink>
      <w:r>
        <w:t>. November 9, 2016, p. 9.</w:t>
      </w:r>
    </w:p>
  </w:footnote>
  <w:footnote w:id="58">
    <w:p w14:paraId="397D24C8" w14:textId="77777777" w:rsidR="00C206CD" w:rsidRPr="00F82DD5" w:rsidRDefault="00C206CD" w:rsidP="007166BD">
      <w:pPr>
        <w:pStyle w:val="FootnoteText"/>
        <w:rPr>
          <w:lang w:val="de-DE"/>
        </w:rPr>
      </w:pPr>
      <w:r>
        <w:rPr>
          <w:rStyle w:val="FootnoteReference"/>
        </w:rPr>
        <w:footnoteRef/>
      </w:r>
      <w:r>
        <w:t xml:space="preserve"> European Commission (EC). </w:t>
      </w:r>
      <w:hyperlink r:id="rId57" w:history="1">
        <w:r w:rsidRPr="00C768D7">
          <w:rPr>
            <w:rStyle w:val="Hyperlink"/>
          </w:rPr>
          <w:t>2016 Communication on EU Enlargement Policy</w:t>
        </w:r>
      </w:hyperlink>
      <w:r>
        <w:t xml:space="preserve">. </w:t>
      </w:r>
      <w:r w:rsidRPr="00F82DD5">
        <w:rPr>
          <w:lang w:val="de-DE"/>
        </w:rPr>
        <w:t>November 9, 2016, p. 10.</w:t>
      </w:r>
    </w:p>
  </w:footnote>
  <w:footnote w:id="59">
    <w:p w14:paraId="2E06FE4F" w14:textId="732BDD37" w:rsidR="00C206CD" w:rsidRPr="007C2AC3" w:rsidRDefault="00C206CD" w:rsidP="005A173A">
      <w:pPr>
        <w:pStyle w:val="FootnoteText"/>
        <w:rPr>
          <w:lang w:val="de-DE"/>
        </w:rPr>
      </w:pPr>
      <w:r>
        <w:rPr>
          <w:rStyle w:val="FootnoteReference"/>
        </w:rPr>
        <w:footnoteRef/>
      </w:r>
      <w:r w:rsidRPr="00F82DD5">
        <w:rPr>
          <w:lang w:val="de-DE"/>
        </w:rPr>
        <w:t xml:space="preserve"> Komisioni Evropian (KE). </w:t>
      </w:r>
      <w:hyperlink r:id="rId58" w:history="1">
        <w:r w:rsidRPr="007C2AC3">
          <w:rPr>
            <w:rStyle w:val="Hyperlink"/>
            <w:lang w:val="de-DE"/>
          </w:rPr>
          <w:t>2016 Komunikimi mbi Politikat e Zgjerimit të BE-së</w:t>
        </w:r>
      </w:hyperlink>
      <w:r w:rsidRPr="007C2AC3">
        <w:rPr>
          <w:lang w:val="de-DE"/>
        </w:rPr>
        <w:t>. 9 Nëntor, 2016, f. 13.</w:t>
      </w:r>
    </w:p>
  </w:footnote>
  <w:footnote w:id="60">
    <w:p w14:paraId="69877D8A" w14:textId="20C6D64A" w:rsidR="00C206CD" w:rsidRDefault="00C206CD" w:rsidP="005A173A">
      <w:pPr>
        <w:pStyle w:val="FootnoteText"/>
      </w:pPr>
      <w:r w:rsidRPr="001B43D5">
        <w:rPr>
          <w:rStyle w:val="FootnoteReference"/>
          <w:szCs w:val="17"/>
        </w:rPr>
        <w:footnoteRef/>
      </w:r>
      <w:r w:rsidRPr="00F82DD5">
        <w:rPr>
          <w:szCs w:val="17"/>
          <w:lang w:val="de-DE"/>
        </w:rPr>
        <w:t xml:space="preserve"> OECD. SIGMA – Mbështetje për Përmirësimin e Qeverisjes dhe Menaxhimit. </w:t>
      </w:r>
      <w:hyperlink r:id="rId59" w:history="1">
        <w:r w:rsidRPr="007C2AC3">
          <w:rPr>
            <w:rStyle w:val="Hyperlink"/>
            <w:szCs w:val="17"/>
          </w:rPr>
          <w:t>Rishikimi i Politikave në Kosovë</w:t>
        </w:r>
      </w:hyperlink>
      <w:r w:rsidRPr="001B43D5">
        <w:rPr>
          <w:szCs w:val="17"/>
        </w:rPr>
        <w:t xml:space="preserve">. </w:t>
      </w:r>
      <w:r>
        <w:rPr>
          <w:szCs w:val="17"/>
        </w:rPr>
        <w:t xml:space="preserve">27 </w:t>
      </w:r>
      <w:r w:rsidRPr="001B43D5">
        <w:rPr>
          <w:szCs w:val="17"/>
        </w:rPr>
        <w:t xml:space="preserve">Januar, 2015, </w:t>
      </w:r>
      <w:r>
        <w:rPr>
          <w:szCs w:val="17"/>
        </w:rPr>
        <w:t>f</w:t>
      </w:r>
      <w:r w:rsidRPr="001B43D5">
        <w:rPr>
          <w:szCs w:val="17"/>
        </w:rPr>
        <w:t>. 4.</w:t>
      </w:r>
      <w:r>
        <w:t xml:space="preserve"> </w:t>
      </w:r>
    </w:p>
  </w:footnote>
  <w:footnote w:id="61">
    <w:p w14:paraId="15902A99" w14:textId="49E0B0AF" w:rsidR="00C206CD" w:rsidRDefault="00C206CD" w:rsidP="008A63EB">
      <w:pPr>
        <w:pStyle w:val="FootnoteText"/>
      </w:pPr>
      <w:r>
        <w:rPr>
          <w:rStyle w:val="FootnoteReference"/>
        </w:rPr>
        <w:footnoteRef/>
      </w:r>
      <w:r>
        <w:t xml:space="preserve"> Komisioni Evropian (KE). </w:t>
      </w:r>
      <w:hyperlink r:id="rId60" w:history="1">
        <w:r w:rsidRPr="00C768D7">
          <w:rPr>
            <w:rStyle w:val="Hyperlink"/>
          </w:rPr>
          <w:t>2016 Communication on EU Enlargement Policy</w:t>
        </w:r>
      </w:hyperlink>
      <w:r>
        <w:t>. 9 Nëntor, 2016, f. 13.</w:t>
      </w:r>
    </w:p>
  </w:footnote>
  <w:footnote w:id="62">
    <w:p w14:paraId="00513EB6" w14:textId="4BF626C3" w:rsidR="00C206CD" w:rsidRDefault="00C206CD" w:rsidP="008A63EB">
      <w:pPr>
        <w:pStyle w:val="FootnoteText"/>
      </w:pPr>
      <w:r>
        <w:rPr>
          <w:rStyle w:val="FootnoteReference"/>
        </w:rPr>
        <w:footnoteRef/>
      </w:r>
      <w:r>
        <w:t xml:space="preserve"> </w:t>
      </w:r>
      <w:hyperlink r:id="rId61" w:history="1">
        <w:r w:rsidRPr="007C2AC3">
          <w:rPr>
            <w:rStyle w:val="Hyperlink"/>
          </w:rPr>
          <w:t>Marrëveshja e Stabilizim Asociimit ndërmjet Kosovës, nga njëra anë dhe BE dhe EAEC, e Partnerëve të tjerë</w:t>
        </w:r>
      </w:hyperlink>
      <w:r>
        <w:t xml:space="preserve">. f. 4.  </w:t>
      </w:r>
    </w:p>
  </w:footnote>
  <w:footnote w:id="63">
    <w:p w14:paraId="57092BC9" w14:textId="4238B98B" w:rsidR="00C206CD" w:rsidRPr="007C2AC3" w:rsidRDefault="00C206CD" w:rsidP="00BA3098">
      <w:pPr>
        <w:pStyle w:val="FootnoteText"/>
        <w:rPr>
          <w:lang w:val="de-DE"/>
        </w:rPr>
      </w:pPr>
      <w:r>
        <w:rPr>
          <w:rStyle w:val="FootnoteReference"/>
        </w:rPr>
        <w:footnoteRef/>
      </w:r>
      <w:r w:rsidRPr="007C2AC3">
        <w:rPr>
          <w:lang w:val="de-DE"/>
        </w:rPr>
        <w:t xml:space="preserve"> Komisioni Evropian  </w:t>
      </w:r>
      <w:hyperlink r:id="rId62" w:history="1">
        <w:r w:rsidRPr="007C2AC3">
          <w:rPr>
            <w:rStyle w:val="Hyperlink"/>
            <w:lang w:val="de-DE"/>
          </w:rPr>
          <w:t>Strategjia e Zgjerimit të BE</w:t>
        </w:r>
        <w:r>
          <w:rPr>
            <w:rStyle w:val="Hyperlink"/>
            <w:lang w:val="de-DE"/>
          </w:rPr>
          <w:t>-së</w:t>
        </w:r>
      </w:hyperlink>
      <w:r w:rsidRPr="007C2AC3">
        <w:rPr>
          <w:lang w:val="de-DE"/>
        </w:rPr>
        <w:t>. Nëntor 2015, f.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0062" w14:textId="158D9116" w:rsidR="00C206CD" w:rsidRPr="00976F5D" w:rsidRDefault="00C206CD" w:rsidP="00976F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F61"/>
    <w:multiLevelType w:val="multilevel"/>
    <w:tmpl w:val="890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69B8"/>
    <w:multiLevelType w:val="hybridMultilevel"/>
    <w:tmpl w:val="33BC17B6"/>
    <w:lvl w:ilvl="0" w:tplc="4BC8AE7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4827"/>
    <w:multiLevelType w:val="hybridMultilevel"/>
    <w:tmpl w:val="145C78EE"/>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A48FE"/>
    <w:multiLevelType w:val="multilevel"/>
    <w:tmpl w:val="1BE6AC22"/>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3B39B4"/>
    <w:multiLevelType w:val="hybridMultilevel"/>
    <w:tmpl w:val="FBFCA6E6"/>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43099"/>
    <w:multiLevelType w:val="multilevel"/>
    <w:tmpl w:val="53D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92E87"/>
    <w:multiLevelType w:val="multilevel"/>
    <w:tmpl w:val="65E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D1CA4"/>
    <w:multiLevelType w:val="hybridMultilevel"/>
    <w:tmpl w:val="DD663BDA"/>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E27B8"/>
    <w:multiLevelType w:val="multilevel"/>
    <w:tmpl w:val="CD8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54E4D"/>
    <w:multiLevelType w:val="multilevel"/>
    <w:tmpl w:val="28AA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A6128"/>
    <w:multiLevelType w:val="hybridMultilevel"/>
    <w:tmpl w:val="0F6AB568"/>
    <w:lvl w:ilvl="0" w:tplc="D942614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E61BC"/>
    <w:multiLevelType w:val="hybridMultilevel"/>
    <w:tmpl w:val="871A9450"/>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949C8"/>
    <w:multiLevelType w:val="hybridMultilevel"/>
    <w:tmpl w:val="6FC089CE"/>
    <w:lvl w:ilvl="0" w:tplc="3BCA0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A343E"/>
    <w:multiLevelType w:val="hybridMultilevel"/>
    <w:tmpl w:val="C2E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8307A"/>
    <w:multiLevelType w:val="hybridMultilevel"/>
    <w:tmpl w:val="B12EA70E"/>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A0BAF"/>
    <w:multiLevelType w:val="hybridMultilevel"/>
    <w:tmpl w:val="0BEE1F94"/>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30BCA"/>
    <w:multiLevelType w:val="hybridMultilevel"/>
    <w:tmpl w:val="5908D95E"/>
    <w:lvl w:ilvl="0" w:tplc="AB429DEE">
      <w:start w:val="4"/>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94063"/>
    <w:multiLevelType w:val="multilevel"/>
    <w:tmpl w:val="B422F3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DA6979"/>
    <w:multiLevelType w:val="hybridMultilevel"/>
    <w:tmpl w:val="31BAF8C8"/>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64F2D"/>
    <w:multiLevelType w:val="hybridMultilevel"/>
    <w:tmpl w:val="5D248F76"/>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72E6E"/>
    <w:multiLevelType w:val="multilevel"/>
    <w:tmpl w:val="F37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71263"/>
    <w:multiLevelType w:val="hybridMultilevel"/>
    <w:tmpl w:val="FA52CB80"/>
    <w:lvl w:ilvl="0" w:tplc="0ADE2620">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B253A"/>
    <w:multiLevelType w:val="multilevel"/>
    <w:tmpl w:val="CACA4C4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B7E3F0B"/>
    <w:multiLevelType w:val="hybridMultilevel"/>
    <w:tmpl w:val="72882A5E"/>
    <w:lvl w:ilvl="0" w:tplc="A81CB932">
      <w:start w:val="1"/>
      <w:numFmt w:val="bullet"/>
      <w:lvlText w:val=""/>
      <w:lvlJc w:val="left"/>
      <w:pPr>
        <w:tabs>
          <w:tab w:val="num" w:pos="720"/>
        </w:tabs>
        <w:ind w:left="720" w:hanging="360"/>
      </w:pPr>
      <w:rPr>
        <w:rFonts w:ascii="Wingdings 3" w:hAnsi="Wingdings 3" w:hint="default"/>
      </w:rPr>
    </w:lvl>
    <w:lvl w:ilvl="1" w:tplc="3074174A" w:tentative="1">
      <w:start w:val="1"/>
      <w:numFmt w:val="bullet"/>
      <w:lvlText w:val=""/>
      <w:lvlJc w:val="left"/>
      <w:pPr>
        <w:tabs>
          <w:tab w:val="num" w:pos="1440"/>
        </w:tabs>
        <w:ind w:left="1440" w:hanging="360"/>
      </w:pPr>
      <w:rPr>
        <w:rFonts w:ascii="Wingdings 3" w:hAnsi="Wingdings 3" w:hint="default"/>
      </w:rPr>
    </w:lvl>
    <w:lvl w:ilvl="2" w:tplc="E1E6D770" w:tentative="1">
      <w:start w:val="1"/>
      <w:numFmt w:val="bullet"/>
      <w:lvlText w:val=""/>
      <w:lvlJc w:val="left"/>
      <w:pPr>
        <w:tabs>
          <w:tab w:val="num" w:pos="2160"/>
        </w:tabs>
        <w:ind w:left="2160" w:hanging="360"/>
      </w:pPr>
      <w:rPr>
        <w:rFonts w:ascii="Wingdings 3" w:hAnsi="Wingdings 3" w:hint="default"/>
      </w:rPr>
    </w:lvl>
    <w:lvl w:ilvl="3" w:tplc="5BF4FB6C" w:tentative="1">
      <w:start w:val="1"/>
      <w:numFmt w:val="bullet"/>
      <w:lvlText w:val=""/>
      <w:lvlJc w:val="left"/>
      <w:pPr>
        <w:tabs>
          <w:tab w:val="num" w:pos="2880"/>
        </w:tabs>
        <w:ind w:left="2880" w:hanging="360"/>
      </w:pPr>
      <w:rPr>
        <w:rFonts w:ascii="Wingdings 3" w:hAnsi="Wingdings 3" w:hint="default"/>
      </w:rPr>
    </w:lvl>
    <w:lvl w:ilvl="4" w:tplc="F8EAC894" w:tentative="1">
      <w:start w:val="1"/>
      <w:numFmt w:val="bullet"/>
      <w:lvlText w:val=""/>
      <w:lvlJc w:val="left"/>
      <w:pPr>
        <w:tabs>
          <w:tab w:val="num" w:pos="3600"/>
        </w:tabs>
        <w:ind w:left="3600" w:hanging="360"/>
      </w:pPr>
      <w:rPr>
        <w:rFonts w:ascii="Wingdings 3" w:hAnsi="Wingdings 3" w:hint="default"/>
      </w:rPr>
    </w:lvl>
    <w:lvl w:ilvl="5" w:tplc="5112AB86" w:tentative="1">
      <w:start w:val="1"/>
      <w:numFmt w:val="bullet"/>
      <w:lvlText w:val=""/>
      <w:lvlJc w:val="left"/>
      <w:pPr>
        <w:tabs>
          <w:tab w:val="num" w:pos="4320"/>
        </w:tabs>
        <w:ind w:left="4320" w:hanging="360"/>
      </w:pPr>
      <w:rPr>
        <w:rFonts w:ascii="Wingdings 3" w:hAnsi="Wingdings 3" w:hint="default"/>
      </w:rPr>
    </w:lvl>
    <w:lvl w:ilvl="6" w:tplc="CE9A9B0A" w:tentative="1">
      <w:start w:val="1"/>
      <w:numFmt w:val="bullet"/>
      <w:lvlText w:val=""/>
      <w:lvlJc w:val="left"/>
      <w:pPr>
        <w:tabs>
          <w:tab w:val="num" w:pos="5040"/>
        </w:tabs>
        <w:ind w:left="5040" w:hanging="360"/>
      </w:pPr>
      <w:rPr>
        <w:rFonts w:ascii="Wingdings 3" w:hAnsi="Wingdings 3" w:hint="default"/>
      </w:rPr>
    </w:lvl>
    <w:lvl w:ilvl="7" w:tplc="5B2652EE" w:tentative="1">
      <w:start w:val="1"/>
      <w:numFmt w:val="bullet"/>
      <w:lvlText w:val=""/>
      <w:lvlJc w:val="left"/>
      <w:pPr>
        <w:tabs>
          <w:tab w:val="num" w:pos="5760"/>
        </w:tabs>
        <w:ind w:left="5760" w:hanging="360"/>
      </w:pPr>
      <w:rPr>
        <w:rFonts w:ascii="Wingdings 3" w:hAnsi="Wingdings 3" w:hint="default"/>
      </w:rPr>
    </w:lvl>
    <w:lvl w:ilvl="8" w:tplc="0EF2B4E6" w:tentative="1">
      <w:start w:val="1"/>
      <w:numFmt w:val="bullet"/>
      <w:lvlText w:val=""/>
      <w:lvlJc w:val="left"/>
      <w:pPr>
        <w:tabs>
          <w:tab w:val="num" w:pos="6480"/>
        </w:tabs>
        <w:ind w:left="6480" w:hanging="360"/>
      </w:pPr>
      <w:rPr>
        <w:rFonts w:ascii="Wingdings 3" w:hAnsi="Wingdings 3" w:hint="default"/>
      </w:rPr>
    </w:lvl>
  </w:abstractNum>
  <w:abstractNum w:abstractNumId="24">
    <w:nsid w:val="6AF17B03"/>
    <w:multiLevelType w:val="hybridMultilevel"/>
    <w:tmpl w:val="EE62DD56"/>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82071"/>
    <w:multiLevelType w:val="hybridMultilevel"/>
    <w:tmpl w:val="74D44600"/>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D7981"/>
    <w:multiLevelType w:val="multilevel"/>
    <w:tmpl w:val="531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B1673"/>
    <w:multiLevelType w:val="hybridMultilevel"/>
    <w:tmpl w:val="422024D6"/>
    <w:lvl w:ilvl="0" w:tplc="4D0ADB72">
      <w:start w:val="2"/>
      <w:numFmt w:val="bullet"/>
      <w:lvlText w:val="-"/>
      <w:lvlJc w:val="left"/>
      <w:pPr>
        <w:ind w:left="410" w:hanging="360"/>
      </w:pPr>
      <w:rPr>
        <w:rFonts w:ascii="Calibri Light" w:eastAsiaTheme="minorHAnsi" w:hAnsi="Calibri Light" w:cs="Calibri 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nsid w:val="7A486C28"/>
    <w:multiLevelType w:val="hybridMultilevel"/>
    <w:tmpl w:val="333A8F9A"/>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37DEC"/>
    <w:multiLevelType w:val="hybridMultilevel"/>
    <w:tmpl w:val="94DA04C4"/>
    <w:lvl w:ilvl="0" w:tplc="B374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A131A"/>
    <w:multiLevelType w:val="hybridMultilevel"/>
    <w:tmpl w:val="897A9D24"/>
    <w:lvl w:ilvl="0" w:tplc="472CE408">
      <w:start w:val="4"/>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3"/>
  </w:num>
  <w:num w:numId="4">
    <w:abstractNumId w:val="10"/>
  </w:num>
  <w:num w:numId="5">
    <w:abstractNumId w:val="24"/>
  </w:num>
  <w:num w:numId="6">
    <w:abstractNumId w:val="27"/>
  </w:num>
  <w:num w:numId="7">
    <w:abstractNumId w:val="2"/>
  </w:num>
  <w:num w:numId="8">
    <w:abstractNumId w:val="21"/>
  </w:num>
  <w:num w:numId="9">
    <w:abstractNumId w:val="3"/>
  </w:num>
  <w:num w:numId="10">
    <w:abstractNumId w:val="4"/>
  </w:num>
  <w:num w:numId="11">
    <w:abstractNumId w:val="14"/>
  </w:num>
  <w:num w:numId="12">
    <w:abstractNumId w:val="19"/>
  </w:num>
  <w:num w:numId="13">
    <w:abstractNumId w:val="26"/>
  </w:num>
  <w:num w:numId="14">
    <w:abstractNumId w:val="8"/>
  </w:num>
  <w:num w:numId="15">
    <w:abstractNumId w:val="12"/>
  </w:num>
  <w:num w:numId="16">
    <w:abstractNumId w:val="22"/>
  </w:num>
  <w:num w:numId="17">
    <w:abstractNumId w:val="1"/>
  </w:num>
  <w:num w:numId="18">
    <w:abstractNumId w:val="17"/>
  </w:num>
  <w:num w:numId="19">
    <w:abstractNumId w:val="7"/>
  </w:num>
  <w:num w:numId="20">
    <w:abstractNumId w:val="30"/>
  </w:num>
  <w:num w:numId="21">
    <w:abstractNumId w:val="16"/>
  </w:num>
  <w:num w:numId="22">
    <w:abstractNumId w:val="23"/>
  </w:num>
  <w:num w:numId="23">
    <w:abstractNumId w:val="5"/>
  </w:num>
  <w:num w:numId="24">
    <w:abstractNumId w:val="6"/>
  </w:num>
  <w:num w:numId="25">
    <w:abstractNumId w:val="9"/>
  </w:num>
  <w:num w:numId="26">
    <w:abstractNumId w:val="20"/>
  </w:num>
  <w:num w:numId="27">
    <w:abstractNumId w:val="0"/>
  </w:num>
  <w:num w:numId="28">
    <w:abstractNumId w:val="28"/>
  </w:num>
  <w:num w:numId="29">
    <w:abstractNumId w:val="1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D9"/>
    <w:rsid w:val="000003E8"/>
    <w:rsid w:val="00002BBA"/>
    <w:rsid w:val="00004F48"/>
    <w:rsid w:val="00011A84"/>
    <w:rsid w:val="0001660A"/>
    <w:rsid w:val="00017184"/>
    <w:rsid w:val="00026AD8"/>
    <w:rsid w:val="00031719"/>
    <w:rsid w:val="0003605B"/>
    <w:rsid w:val="000376B7"/>
    <w:rsid w:val="00037EC6"/>
    <w:rsid w:val="00042858"/>
    <w:rsid w:val="00042D85"/>
    <w:rsid w:val="00044338"/>
    <w:rsid w:val="00050789"/>
    <w:rsid w:val="0005223B"/>
    <w:rsid w:val="000533DD"/>
    <w:rsid w:val="00057756"/>
    <w:rsid w:val="000654FA"/>
    <w:rsid w:val="00076DA7"/>
    <w:rsid w:val="00082FA3"/>
    <w:rsid w:val="000B43BF"/>
    <w:rsid w:val="000B74CD"/>
    <w:rsid w:val="000C1000"/>
    <w:rsid w:val="000C1195"/>
    <w:rsid w:val="000C49A4"/>
    <w:rsid w:val="000D1BE3"/>
    <w:rsid w:val="000D342B"/>
    <w:rsid w:val="000F115B"/>
    <w:rsid w:val="000F78E3"/>
    <w:rsid w:val="000F7EEB"/>
    <w:rsid w:val="00107BB3"/>
    <w:rsid w:val="00111E3B"/>
    <w:rsid w:val="00117A35"/>
    <w:rsid w:val="00123709"/>
    <w:rsid w:val="00126FC6"/>
    <w:rsid w:val="0013078B"/>
    <w:rsid w:val="001326F1"/>
    <w:rsid w:val="0013497A"/>
    <w:rsid w:val="0013589E"/>
    <w:rsid w:val="00141185"/>
    <w:rsid w:val="0014431F"/>
    <w:rsid w:val="00150454"/>
    <w:rsid w:val="0015069C"/>
    <w:rsid w:val="00162848"/>
    <w:rsid w:val="0017075B"/>
    <w:rsid w:val="001819D3"/>
    <w:rsid w:val="001844A0"/>
    <w:rsid w:val="00187328"/>
    <w:rsid w:val="001902C5"/>
    <w:rsid w:val="001918BB"/>
    <w:rsid w:val="00191F0A"/>
    <w:rsid w:val="0019503A"/>
    <w:rsid w:val="0019652D"/>
    <w:rsid w:val="001A38CA"/>
    <w:rsid w:val="001B0110"/>
    <w:rsid w:val="001B43D5"/>
    <w:rsid w:val="001C0F41"/>
    <w:rsid w:val="001C381A"/>
    <w:rsid w:val="001D0E45"/>
    <w:rsid w:val="001D2CAC"/>
    <w:rsid w:val="001D7D7A"/>
    <w:rsid w:val="001E12CB"/>
    <w:rsid w:val="001F3B38"/>
    <w:rsid w:val="001F7A94"/>
    <w:rsid w:val="0020367B"/>
    <w:rsid w:val="00205B24"/>
    <w:rsid w:val="00211F6A"/>
    <w:rsid w:val="002242DD"/>
    <w:rsid w:val="0022457E"/>
    <w:rsid w:val="00225310"/>
    <w:rsid w:val="00225B6A"/>
    <w:rsid w:val="002267FB"/>
    <w:rsid w:val="00227218"/>
    <w:rsid w:val="002378AC"/>
    <w:rsid w:val="002403B3"/>
    <w:rsid w:val="00246A90"/>
    <w:rsid w:val="00256432"/>
    <w:rsid w:val="0025779E"/>
    <w:rsid w:val="00257BAA"/>
    <w:rsid w:val="00265F62"/>
    <w:rsid w:val="00272AA1"/>
    <w:rsid w:val="002831DA"/>
    <w:rsid w:val="00283F26"/>
    <w:rsid w:val="002877FD"/>
    <w:rsid w:val="002A0DD2"/>
    <w:rsid w:val="002A54A8"/>
    <w:rsid w:val="002A6EF4"/>
    <w:rsid w:val="002A6F09"/>
    <w:rsid w:val="002B0388"/>
    <w:rsid w:val="002B1731"/>
    <w:rsid w:val="002B38B8"/>
    <w:rsid w:val="002B4B74"/>
    <w:rsid w:val="002C2CA9"/>
    <w:rsid w:val="002C343C"/>
    <w:rsid w:val="002C64ED"/>
    <w:rsid w:val="002C70EF"/>
    <w:rsid w:val="002D373C"/>
    <w:rsid w:val="002D6CCD"/>
    <w:rsid w:val="002D7E5D"/>
    <w:rsid w:val="002E0C8F"/>
    <w:rsid w:val="002E66BF"/>
    <w:rsid w:val="002F22F4"/>
    <w:rsid w:val="00303927"/>
    <w:rsid w:val="003040FE"/>
    <w:rsid w:val="00317BE4"/>
    <w:rsid w:val="003231FB"/>
    <w:rsid w:val="00323265"/>
    <w:rsid w:val="00326BBD"/>
    <w:rsid w:val="00331DD5"/>
    <w:rsid w:val="00334238"/>
    <w:rsid w:val="003375A3"/>
    <w:rsid w:val="003418C0"/>
    <w:rsid w:val="00343F74"/>
    <w:rsid w:val="003450C4"/>
    <w:rsid w:val="003525C1"/>
    <w:rsid w:val="0036075A"/>
    <w:rsid w:val="00360BFA"/>
    <w:rsid w:val="00361217"/>
    <w:rsid w:val="00362DE2"/>
    <w:rsid w:val="0036478C"/>
    <w:rsid w:val="00364802"/>
    <w:rsid w:val="003746AB"/>
    <w:rsid w:val="003746CA"/>
    <w:rsid w:val="00380106"/>
    <w:rsid w:val="00384420"/>
    <w:rsid w:val="0038704A"/>
    <w:rsid w:val="003939F9"/>
    <w:rsid w:val="00396DA3"/>
    <w:rsid w:val="003A1EF8"/>
    <w:rsid w:val="003A4423"/>
    <w:rsid w:val="003A5FCC"/>
    <w:rsid w:val="003A6CA7"/>
    <w:rsid w:val="003B7261"/>
    <w:rsid w:val="003C12B3"/>
    <w:rsid w:val="003C3617"/>
    <w:rsid w:val="003D2DC5"/>
    <w:rsid w:val="003D3500"/>
    <w:rsid w:val="003D4C5D"/>
    <w:rsid w:val="003E0C6F"/>
    <w:rsid w:val="003E1FC5"/>
    <w:rsid w:val="003F223B"/>
    <w:rsid w:val="003F4A35"/>
    <w:rsid w:val="003F58FB"/>
    <w:rsid w:val="003F630A"/>
    <w:rsid w:val="0040445F"/>
    <w:rsid w:val="004059BA"/>
    <w:rsid w:val="00407A65"/>
    <w:rsid w:val="00420D80"/>
    <w:rsid w:val="004220BE"/>
    <w:rsid w:val="0042221C"/>
    <w:rsid w:val="004241F1"/>
    <w:rsid w:val="00433CA3"/>
    <w:rsid w:val="0043600A"/>
    <w:rsid w:val="00437E3A"/>
    <w:rsid w:val="00444ED5"/>
    <w:rsid w:val="00453AA7"/>
    <w:rsid w:val="004546D7"/>
    <w:rsid w:val="004621A6"/>
    <w:rsid w:val="00463856"/>
    <w:rsid w:val="004728D3"/>
    <w:rsid w:val="00472A36"/>
    <w:rsid w:val="004745EE"/>
    <w:rsid w:val="00481067"/>
    <w:rsid w:val="00482D2A"/>
    <w:rsid w:val="0048742A"/>
    <w:rsid w:val="004907DC"/>
    <w:rsid w:val="00494F24"/>
    <w:rsid w:val="00495B12"/>
    <w:rsid w:val="00495CA6"/>
    <w:rsid w:val="00497792"/>
    <w:rsid w:val="004A3A1A"/>
    <w:rsid w:val="004A686A"/>
    <w:rsid w:val="004B4EC3"/>
    <w:rsid w:val="004C1170"/>
    <w:rsid w:val="004D0620"/>
    <w:rsid w:val="004D2DFC"/>
    <w:rsid w:val="004D2FA0"/>
    <w:rsid w:val="004D3915"/>
    <w:rsid w:val="004D58D9"/>
    <w:rsid w:val="004D6E32"/>
    <w:rsid w:val="004E1E51"/>
    <w:rsid w:val="004E70EA"/>
    <w:rsid w:val="004F174F"/>
    <w:rsid w:val="004F5EDC"/>
    <w:rsid w:val="004F6A33"/>
    <w:rsid w:val="005017C2"/>
    <w:rsid w:val="005038D2"/>
    <w:rsid w:val="005069CE"/>
    <w:rsid w:val="00514D90"/>
    <w:rsid w:val="00514F9B"/>
    <w:rsid w:val="00524AD0"/>
    <w:rsid w:val="00526265"/>
    <w:rsid w:val="00532A94"/>
    <w:rsid w:val="00541363"/>
    <w:rsid w:val="00543362"/>
    <w:rsid w:val="00552E21"/>
    <w:rsid w:val="00555ED9"/>
    <w:rsid w:val="00560EC8"/>
    <w:rsid w:val="005617F9"/>
    <w:rsid w:val="00563E32"/>
    <w:rsid w:val="00565DAE"/>
    <w:rsid w:val="00572609"/>
    <w:rsid w:val="00573865"/>
    <w:rsid w:val="00585357"/>
    <w:rsid w:val="00586982"/>
    <w:rsid w:val="00587636"/>
    <w:rsid w:val="00590D6B"/>
    <w:rsid w:val="00594DE3"/>
    <w:rsid w:val="005A173A"/>
    <w:rsid w:val="005A6E43"/>
    <w:rsid w:val="005B1BEC"/>
    <w:rsid w:val="005B67FC"/>
    <w:rsid w:val="005B7856"/>
    <w:rsid w:val="005B7B8D"/>
    <w:rsid w:val="005B7D25"/>
    <w:rsid w:val="005C1759"/>
    <w:rsid w:val="005D33C9"/>
    <w:rsid w:val="005E44EE"/>
    <w:rsid w:val="005E57EA"/>
    <w:rsid w:val="005E7407"/>
    <w:rsid w:val="005F0909"/>
    <w:rsid w:val="0060143E"/>
    <w:rsid w:val="006018BC"/>
    <w:rsid w:val="0060606F"/>
    <w:rsid w:val="00606DFC"/>
    <w:rsid w:val="00614C20"/>
    <w:rsid w:val="006168EC"/>
    <w:rsid w:val="00620D97"/>
    <w:rsid w:val="00622B13"/>
    <w:rsid w:val="00626065"/>
    <w:rsid w:val="00627132"/>
    <w:rsid w:val="00636AC0"/>
    <w:rsid w:val="00646304"/>
    <w:rsid w:val="006469A9"/>
    <w:rsid w:val="006538C5"/>
    <w:rsid w:val="00656ACD"/>
    <w:rsid w:val="00656E3F"/>
    <w:rsid w:val="0066101F"/>
    <w:rsid w:val="00670449"/>
    <w:rsid w:val="00671C65"/>
    <w:rsid w:val="006775DA"/>
    <w:rsid w:val="00681217"/>
    <w:rsid w:val="006824EE"/>
    <w:rsid w:val="006854D7"/>
    <w:rsid w:val="00686B26"/>
    <w:rsid w:val="00690E95"/>
    <w:rsid w:val="00691396"/>
    <w:rsid w:val="0069490C"/>
    <w:rsid w:val="00695896"/>
    <w:rsid w:val="006958C8"/>
    <w:rsid w:val="006962C3"/>
    <w:rsid w:val="006A2654"/>
    <w:rsid w:val="006A307F"/>
    <w:rsid w:val="006B20B1"/>
    <w:rsid w:val="006B4C84"/>
    <w:rsid w:val="006B6D61"/>
    <w:rsid w:val="006C50D9"/>
    <w:rsid w:val="006D4951"/>
    <w:rsid w:val="006E197A"/>
    <w:rsid w:val="006F0DED"/>
    <w:rsid w:val="006F3086"/>
    <w:rsid w:val="006F33CB"/>
    <w:rsid w:val="006F4E03"/>
    <w:rsid w:val="006F6915"/>
    <w:rsid w:val="0070044A"/>
    <w:rsid w:val="00701EC5"/>
    <w:rsid w:val="0070452A"/>
    <w:rsid w:val="00711C11"/>
    <w:rsid w:val="007166BD"/>
    <w:rsid w:val="0071792A"/>
    <w:rsid w:val="00720A4B"/>
    <w:rsid w:val="00727761"/>
    <w:rsid w:val="00743499"/>
    <w:rsid w:val="007562F7"/>
    <w:rsid w:val="007752F1"/>
    <w:rsid w:val="00775AA9"/>
    <w:rsid w:val="00776244"/>
    <w:rsid w:val="00782106"/>
    <w:rsid w:val="007874F3"/>
    <w:rsid w:val="007A1055"/>
    <w:rsid w:val="007A2B75"/>
    <w:rsid w:val="007A39BF"/>
    <w:rsid w:val="007A422E"/>
    <w:rsid w:val="007A4E46"/>
    <w:rsid w:val="007C017C"/>
    <w:rsid w:val="007C15AC"/>
    <w:rsid w:val="007C2AC3"/>
    <w:rsid w:val="007C7EFF"/>
    <w:rsid w:val="007D4EDB"/>
    <w:rsid w:val="007D552C"/>
    <w:rsid w:val="007D7115"/>
    <w:rsid w:val="007E07E2"/>
    <w:rsid w:val="007F0B8D"/>
    <w:rsid w:val="007F5001"/>
    <w:rsid w:val="007F5348"/>
    <w:rsid w:val="00800C57"/>
    <w:rsid w:val="008026E1"/>
    <w:rsid w:val="0080463C"/>
    <w:rsid w:val="00813B32"/>
    <w:rsid w:val="00816B30"/>
    <w:rsid w:val="00816E9D"/>
    <w:rsid w:val="008173CF"/>
    <w:rsid w:val="008216D8"/>
    <w:rsid w:val="0083083D"/>
    <w:rsid w:val="008362F0"/>
    <w:rsid w:val="00840337"/>
    <w:rsid w:val="008443D7"/>
    <w:rsid w:val="00844A52"/>
    <w:rsid w:val="00844F65"/>
    <w:rsid w:val="00847954"/>
    <w:rsid w:val="008522F0"/>
    <w:rsid w:val="00873EE7"/>
    <w:rsid w:val="008754F1"/>
    <w:rsid w:val="00880754"/>
    <w:rsid w:val="00884E4A"/>
    <w:rsid w:val="00885D9D"/>
    <w:rsid w:val="008879A2"/>
    <w:rsid w:val="00892252"/>
    <w:rsid w:val="00895A30"/>
    <w:rsid w:val="00897DFD"/>
    <w:rsid w:val="008A42B1"/>
    <w:rsid w:val="008A63EB"/>
    <w:rsid w:val="008B02D2"/>
    <w:rsid w:val="008C177E"/>
    <w:rsid w:val="008C1910"/>
    <w:rsid w:val="008C3227"/>
    <w:rsid w:val="008C371F"/>
    <w:rsid w:val="008C4D90"/>
    <w:rsid w:val="008C659D"/>
    <w:rsid w:val="008D2009"/>
    <w:rsid w:val="008D73D1"/>
    <w:rsid w:val="008E01DB"/>
    <w:rsid w:val="008E1A5F"/>
    <w:rsid w:val="008E345A"/>
    <w:rsid w:val="008F2A15"/>
    <w:rsid w:val="008F3BAF"/>
    <w:rsid w:val="008F56C7"/>
    <w:rsid w:val="008F793C"/>
    <w:rsid w:val="009001F9"/>
    <w:rsid w:val="00900E3F"/>
    <w:rsid w:val="00907367"/>
    <w:rsid w:val="00913075"/>
    <w:rsid w:val="009210B5"/>
    <w:rsid w:val="00923A4B"/>
    <w:rsid w:val="00927988"/>
    <w:rsid w:val="00927C9B"/>
    <w:rsid w:val="00936486"/>
    <w:rsid w:val="0093684C"/>
    <w:rsid w:val="00945A2C"/>
    <w:rsid w:val="0094707C"/>
    <w:rsid w:val="0095048E"/>
    <w:rsid w:val="00954620"/>
    <w:rsid w:val="00957857"/>
    <w:rsid w:val="009649F0"/>
    <w:rsid w:val="009659D6"/>
    <w:rsid w:val="00972C0F"/>
    <w:rsid w:val="00973813"/>
    <w:rsid w:val="00976F5D"/>
    <w:rsid w:val="00981584"/>
    <w:rsid w:val="00981A40"/>
    <w:rsid w:val="0098434B"/>
    <w:rsid w:val="00987AD2"/>
    <w:rsid w:val="00991582"/>
    <w:rsid w:val="009942F4"/>
    <w:rsid w:val="00995245"/>
    <w:rsid w:val="00997B91"/>
    <w:rsid w:val="009A084A"/>
    <w:rsid w:val="009A2547"/>
    <w:rsid w:val="009A6C6C"/>
    <w:rsid w:val="009B0468"/>
    <w:rsid w:val="009B0D51"/>
    <w:rsid w:val="009B1756"/>
    <w:rsid w:val="009B5A98"/>
    <w:rsid w:val="009C3A38"/>
    <w:rsid w:val="009D5896"/>
    <w:rsid w:val="009E0E3D"/>
    <w:rsid w:val="009E604C"/>
    <w:rsid w:val="009F43A2"/>
    <w:rsid w:val="009F5B55"/>
    <w:rsid w:val="009F7836"/>
    <w:rsid w:val="00A024C8"/>
    <w:rsid w:val="00A0281B"/>
    <w:rsid w:val="00A05146"/>
    <w:rsid w:val="00A06DCA"/>
    <w:rsid w:val="00A21991"/>
    <w:rsid w:val="00A341EC"/>
    <w:rsid w:val="00A35D7C"/>
    <w:rsid w:val="00A404E9"/>
    <w:rsid w:val="00A472F0"/>
    <w:rsid w:val="00A55683"/>
    <w:rsid w:val="00A6156A"/>
    <w:rsid w:val="00A617AE"/>
    <w:rsid w:val="00A61967"/>
    <w:rsid w:val="00A62A5C"/>
    <w:rsid w:val="00A63C6F"/>
    <w:rsid w:val="00A6414A"/>
    <w:rsid w:val="00A64359"/>
    <w:rsid w:val="00A703C5"/>
    <w:rsid w:val="00A712CB"/>
    <w:rsid w:val="00A73ACC"/>
    <w:rsid w:val="00A763F2"/>
    <w:rsid w:val="00A809B6"/>
    <w:rsid w:val="00A8141E"/>
    <w:rsid w:val="00A8592F"/>
    <w:rsid w:val="00A93B5C"/>
    <w:rsid w:val="00A945A8"/>
    <w:rsid w:val="00A97764"/>
    <w:rsid w:val="00AA18DE"/>
    <w:rsid w:val="00AA4F0C"/>
    <w:rsid w:val="00AB0F9C"/>
    <w:rsid w:val="00AB3174"/>
    <w:rsid w:val="00AC2D66"/>
    <w:rsid w:val="00AC474B"/>
    <w:rsid w:val="00AC4F63"/>
    <w:rsid w:val="00AC62E8"/>
    <w:rsid w:val="00AD15D9"/>
    <w:rsid w:val="00AD2205"/>
    <w:rsid w:val="00AD5129"/>
    <w:rsid w:val="00AE42C1"/>
    <w:rsid w:val="00AF2C68"/>
    <w:rsid w:val="00B17D3C"/>
    <w:rsid w:val="00B20008"/>
    <w:rsid w:val="00B306A4"/>
    <w:rsid w:val="00B3271A"/>
    <w:rsid w:val="00B3435C"/>
    <w:rsid w:val="00B43410"/>
    <w:rsid w:val="00B54C44"/>
    <w:rsid w:val="00B56016"/>
    <w:rsid w:val="00B61EEE"/>
    <w:rsid w:val="00B6362B"/>
    <w:rsid w:val="00B63831"/>
    <w:rsid w:val="00B958A1"/>
    <w:rsid w:val="00B95B59"/>
    <w:rsid w:val="00B973E0"/>
    <w:rsid w:val="00BA17CD"/>
    <w:rsid w:val="00BA3098"/>
    <w:rsid w:val="00BA6E93"/>
    <w:rsid w:val="00BB2A73"/>
    <w:rsid w:val="00BB6C95"/>
    <w:rsid w:val="00BC14D3"/>
    <w:rsid w:val="00BC75CB"/>
    <w:rsid w:val="00BD7D23"/>
    <w:rsid w:val="00BE065D"/>
    <w:rsid w:val="00BE0CD0"/>
    <w:rsid w:val="00BE1798"/>
    <w:rsid w:val="00BF0239"/>
    <w:rsid w:val="00BF6776"/>
    <w:rsid w:val="00C01B92"/>
    <w:rsid w:val="00C101E5"/>
    <w:rsid w:val="00C15F02"/>
    <w:rsid w:val="00C16C35"/>
    <w:rsid w:val="00C200EF"/>
    <w:rsid w:val="00C206CD"/>
    <w:rsid w:val="00C22C82"/>
    <w:rsid w:val="00C24480"/>
    <w:rsid w:val="00C25FBB"/>
    <w:rsid w:val="00C26B9B"/>
    <w:rsid w:val="00C32C82"/>
    <w:rsid w:val="00C33A88"/>
    <w:rsid w:val="00C33CC3"/>
    <w:rsid w:val="00C4226C"/>
    <w:rsid w:val="00C42598"/>
    <w:rsid w:val="00C42B5E"/>
    <w:rsid w:val="00C53187"/>
    <w:rsid w:val="00C57130"/>
    <w:rsid w:val="00C60D1F"/>
    <w:rsid w:val="00C653F5"/>
    <w:rsid w:val="00C70B8B"/>
    <w:rsid w:val="00C768D7"/>
    <w:rsid w:val="00C8057E"/>
    <w:rsid w:val="00C854D6"/>
    <w:rsid w:val="00C86E76"/>
    <w:rsid w:val="00C87B1A"/>
    <w:rsid w:val="00C94FB4"/>
    <w:rsid w:val="00C96D51"/>
    <w:rsid w:val="00CB0EB2"/>
    <w:rsid w:val="00CB3895"/>
    <w:rsid w:val="00CB6D1F"/>
    <w:rsid w:val="00CC143F"/>
    <w:rsid w:val="00CC1839"/>
    <w:rsid w:val="00CC4491"/>
    <w:rsid w:val="00CD0EA5"/>
    <w:rsid w:val="00CD2A2B"/>
    <w:rsid w:val="00CD772E"/>
    <w:rsid w:val="00CE31D7"/>
    <w:rsid w:val="00CE70ED"/>
    <w:rsid w:val="00CF4E71"/>
    <w:rsid w:val="00D013BA"/>
    <w:rsid w:val="00D04344"/>
    <w:rsid w:val="00D06C90"/>
    <w:rsid w:val="00D12620"/>
    <w:rsid w:val="00D1605C"/>
    <w:rsid w:val="00D176D9"/>
    <w:rsid w:val="00D20142"/>
    <w:rsid w:val="00D225D9"/>
    <w:rsid w:val="00D3149B"/>
    <w:rsid w:val="00D31BF2"/>
    <w:rsid w:val="00D33ADD"/>
    <w:rsid w:val="00D346C5"/>
    <w:rsid w:val="00D36242"/>
    <w:rsid w:val="00D36D11"/>
    <w:rsid w:val="00D37AD0"/>
    <w:rsid w:val="00D40E97"/>
    <w:rsid w:val="00D54B09"/>
    <w:rsid w:val="00D563DA"/>
    <w:rsid w:val="00D56B18"/>
    <w:rsid w:val="00D616A4"/>
    <w:rsid w:val="00D62038"/>
    <w:rsid w:val="00D648A0"/>
    <w:rsid w:val="00D64DBA"/>
    <w:rsid w:val="00D657FC"/>
    <w:rsid w:val="00D66CBB"/>
    <w:rsid w:val="00D71B49"/>
    <w:rsid w:val="00D807FF"/>
    <w:rsid w:val="00D83322"/>
    <w:rsid w:val="00D874CF"/>
    <w:rsid w:val="00D9338E"/>
    <w:rsid w:val="00D96F61"/>
    <w:rsid w:val="00D97936"/>
    <w:rsid w:val="00DA1B77"/>
    <w:rsid w:val="00DA246E"/>
    <w:rsid w:val="00DA31DF"/>
    <w:rsid w:val="00DA4AAC"/>
    <w:rsid w:val="00DA4ACD"/>
    <w:rsid w:val="00DA6FDA"/>
    <w:rsid w:val="00DA7244"/>
    <w:rsid w:val="00DB1762"/>
    <w:rsid w:val="00DB77F3"/>
    <w:rsid w:val="00DC0A65"/>
    <w:rsid w:val="00DC376B"/>
    <w:rsid w:val="00DC5657"/>
    <w:rsid w:val="00DC68A9"/>
    <w:rsid w:val="00DC6BF3"/>
    <w:rsid w:val="00DC7F33"/>
    <w:rsid w:val="00DD1A16"/>
    <w:rsid w:val="00DD1E1C"/>
    <w:rsid w:val="00DD2B3C"/>
    <w:rsid w:val="00DD784C"/>
    <w:rsid w:val="00DD7F0A"/>
    <w:rsid w:val="00DF3F31"/>
    <w:rsid w:val="00E02B16"/>
    <w:rsid w:val="00E05A4F"/>
    <w:rsid w:val="00E06D06"/>
    <w:rsid w:val="00E10876"/>
    <w:rsid w:val="00E14FCD"/>
    <w:rsid w:val="00E153BE"/>
    <w:rsid w:val="00E20E1A"/>
    <w:rsid w:val="00E23437"/>
    <w:rsid w:val="00E25576"/>
    <w:rsid w:val="00E32914"/>
    <w:rsid w:val="00E42316"/>
    <w:rsid w:val="00E4259F"/>
    <w:rsid w:val="00E4322D"/>
    <w:rsid w:val="00E4465B"/>
    <w:rsid w:val="00E455EB"/>
    <w:rsid w:val="00E46B3B"/>
    <w:rsid w:val="00E56D93"/>
    <w:rsid w:val="00E5790F"/>
    <w:rsid w:val="00E61731"/>
    <w:rsid w:val="00E62DD4"/>
    <w:rsid w:val="00E644BF"/>
    <w:rsid w:val="00E65669"/>
    <w:rsid w:val="00E741B8"/>
    <w:rsid w:val="00E76430"/>
    <w:rsid w:val="00E77B74"/>
    <w:rsid w:val="00E84234"/>
    <w:rsid w:val="00E91365"/>
    <w:rsid w:val="00EA5852"/>
    <w:rsid w:val="00EA5C82"/>
    <w:rsid w:val="00EB3EFB"/>
    <w:rsid w:val="00EB5581"/>
    <w:rsid w:val="00EB5C98"/>
    <w:rsid w:val="00EB740D"/>
    <w:rsid w:val="00EC0D48"/>
    <w:rsid w:val="00EC3604"/>
    <w:rsid w:val="00EC5138"/>
    <w:rsid w:val="00ED4125"/>
    <w:rsid w:val="00ED450A"/>
    <w:rsid w:val="00EE0D9F"/>
    <w:rsid w:val="00EE783E"/>
    <w:rsid w:val="00EF37B3"/>
    <w:rsid w:val="00EF42BA"/>
    <w:rsid w:val="00EF5BB9"/>
    <w:rsid w:val="00EF6335"/>
    <w:rsid w:val="00F01978"/>
    <w:rsid w:val="00F02106"/>
    <w:rsid w:val="00F0530F"/>
    <w:rsid w:val="00F05567"/>
    <w:rsid w:val="00F06D57"/>
    <w:rsid w:val="00F16142"/>
    <w:rsid w:val="00F17CC9"/>
    <w:rsid w:val="00F21220"/>
    <w:rsid w:val="00F25415"/>
    <w:rsid w:val="00F26377"/>
    <w:rsid w:val="00F26E74"/>
    <w:rsid w:val="00F33A16"/>
    <w:rsid w:val="00F375B4"/>
    <w:rsid w:val="00F5013F"/>
    <w:rsid w:val="00F536AD"/>
    <w:rsid w:val="00F53DDB"/>
    <w:rsid w:val="00F54985"/>
    <w:rsid w:val="00F600A6"/>
    <w:rsid w:val="00F72A04"/>
    <w:rsid w:val="00F731ED"/>
    <w:rsid w:val="00F82DD5"/>
    <w:rsid w:val="00F85EFF"/>
    <w:rsid w:val="00F94FB2"/>
    <w:rsid w:val="00FA1388"/>
    <w:rsid w:val="00FB79C4"/>
    <w:rsid w:val="00FC54A2"/>
    <w:rsid w:val="00FC609B"/>
    <w:rsid w:val="00FC7B89"/>
    <w:rsid w:val="00FD1DC8"/>
    <w:rsid w:val="00FD678B"/>
    <w:rsid w:val="00FE20A0"/>
    <w:rsid w:val="00FE7CC4"/>
    <w:rsid w:val="00FF1F09"/>
    <w:rsid w:val="00FF3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after="0" w:line="240" w:lineRule="auto"/>
      <w:contextualSpacing/>
      <w:jc w:val="both"/>
    </w:pPr>
    <w:rPr>
      <w:rFonts w:ascii="Segoe UI Semilight" w:hAnsi="Segoe UI Semilight"/>
      <w:sz w:val="20"/>
    </w:rPr>
  </w:style>
  <w:style w:type="paragraph" w:styleId="Heading1">
    <w:name w:val="heading 1"/>
    <w:basedOn w:val="Normal"/>
    <w:next w:val="Normal"/>
    <w:link w:val="Heading1Char"/>
    <w:uiPriority w:val="9"/>
    <w:qFormat/>
    <w:rsid w:val="006F33CB"/>
    <w:pPr>
      <w:keepNext/>
      <w:keepLines/>
      <w:spacing w:before="120" w:after="120"/>
      <w:outlineLvl w:val="0"/>
    </w:pPr>
    <w:rPr>
      <w:rFonts w:eastAsiaTheme="majorEastAsia" w:cstheme="majorBidi"/>
      <w:color w:val="0079A4"/>
      <w:sz w:val="28"/>
      <w:szCs w:val="32"/>
    </w:rPr>
  </w:style>
  <w:style w:type="paragraph" w:styleId="Heading2">
    <w:name w:val="heading 2"/>
    <w:basedOn w:val="Normal"/>
    <w:next w:val="Normal"/>
    <w:link w:val="Heading2Char"/>
    <w:uiPriority w:val="9"/>
    <w:unhideWhenUsed/>
    <w:qFormat/>
    <w:rsid w:val="006F33CB"/>
    <w:pPr>
      <w:keepNext/>
      <w:keepLines/>
      <w:spacing w:before="120" w:after="120"/>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DC56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60D1F"/>
    <w:pPr>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C60D1F"/>
    <w:rPr>
      <w:rFonts w:ascii="Calibri Light" w:eastAsiaTheme="majorEastAsia" w:hAnsi="Calibri Light" w:cstheme="majorBidi"/>
      <w:spacing w:val="-10"/>
      <w:kern w:val="28"/>
      <w:sz w:val="28"/>
      <w:szCs w:val="56"/>
    </w:rPr>
  </w:style>
  <w:style w:type="character" w:customStyle="1" w:styleId="Heading1Char">
    <w:name w:val="Heading 1 Char"/>
    <w:basedOn w:val="DefaultParagraphFont"/>
    <w:link w:val="Heading1"/>
    <w:uiPriority w:val="9"/>
    <w:rsid w:val="006F33CB"/>
    <w:rPr>
      <w:rFonts w:ascii="Calibri Light" w:eastAsiaTheme="majorEastAsia" w:hAnsi="Calibri Light" w:cstheme="majorBidi"/>
      <w:color w:val="0079A4"/>
      <w:sz w:val="28"/>
      <w:szCs w:val="32"/>
    </w:rPr>
  </w:style>
  <w:style w:type="character" w:customStyle="1" w:styleId="Heading2Char">
    <w:name w:val="Heading 2 Char"/>
    <w:basedOn w:val="DefaultParagraphFont"/>
    <w:link w:val="Heading2"/>
    <w:uiPriority w:val="9"/>
    <w:rsid w:val="006F33CB"/>
    <w:rPr>
      <w:rFonts w:ascii="Calibri Light" w:eastAsiaTheme="majorEastAsia" w:hAnsi="Calibri Light" w:cstheme="majorBidi"/>
      <w:color w:val="365F91" w:themeColor="accent1" w:themeShade="BF"/>
      <w:sz w:val="24"/>
      <w:szCs w:val="26"/>
    </w:rPr>
  </w:style>
  <w:style w:type="paragraph" w:styleId="ListParagraph">
    <w:name w:val="List Paragraph"/>
    <w:basedOn w:val="Normal"/>
    <w:uiPriority w:val="34"/>
    <w:qFormat/>
    <w:rsid w:val="006F33CB"/>
    <w:pPr>
      <w:ind w:left="720"/>
    </w:pPr>
  </w:style>
  <w:style w:type="table" w:customStyle="1" w:styleId="PlainTable21">
    <w:name w:val="Plain Table 21"/>
    <w:basedOn w:val="TableNormal"/>
    <w:uiPriority w:val="42"/>
    <w:rsid w:val="00E432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03927"/>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04F48"/>
    <w:pPr>
      <w:contextualSpacing w:val="0"/>
    </w:pPr>
    <w:rPr>
      <w:sz w:val="17"/>
      <w:szCs w:val="20"/>
      <w:lang w:val="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04F48"/>
    <w:rPr>
      <w:rFonts w:ascii="Segoe UI Semilight" w:hAnsi="Segoe UI Semilight"/>
      <w:sz w:val="17"/>
      <w:szCs w:val="20"/>
      <w:lang w:val="en-US"/>
    </w:rPr>
  </w:style>
  <w:style w:type="character" w:styleId="FootnoteReference">
    <w:name w:val="footnote reference"/>
    <w:basedOn w:val="DefaultParagraphFont"/>
    <w:uiPriority w:val="99"/>
    <w:semiHidden/>
    <w:unhideWhenUsed/>
    <w:qFormat/>
    <w:rsid w:val="004D0620"/>
    <w:rPr>
      <w:vertAlign w:val="superscript"/>
    </w:rPr>
  </w:style>
  <w:style w:type="character" w:styleId="FollowedHyperlink">
    <w:name w:val="FollowedHyperlink"/>
    <w:basedOn w:val="DefaultParagraphFont"/>
    <w:uiPriority w:val="99"/>
    <w:semiHidden/>
    <w:unhideWhenUsed/>
    <w:rsid w:val="00743499"/>
    <w:rPr>
      <w:color w:val="800080" w:themeColor="followedHyperlink"/>
      <w:u w:val="single"/>
    </w:rPr>
  </w:style>
  <w:style w:type="paragraph" w:styleId="Quote">
    <w:name w:val="Quote"/>
    <w:basedOn w:val="Normal"/>
    <w:next w:val="Normal"/>
    <w:link w:val="QuoteChar"/>
    <w:uiPriority w:val="29"/>
    <w:qFormat/>
    <w:rsid w:val="0022457E"/>
    <w:pPr>
      <w:spacing w:before="200" w:after="160"/>
      <w:ind w:left="864" w:right="864"/>
    </w:pPr>
    <w:rPr>
      <w:iCs/>
      <w:color w:val="404040" w:themeColor="text1" w:themeTint="BF"/>
      <w:sz w:val="19"/>
    </w:rPr>
  </w:style>
  <w:style w:type="character" w:customStyle="1" w:styleId="QuoteChar">
    <w:name w:val="Quote Char"/>
    <w:basedOn w:val="DefaultParagraphFont"/>
    <w:link w:val="Quote"/>
    <w:uiPriority w:val="29"/>
    <w:rsid w:val="0022457E"/>
    <w:rPr>
      <w:rFonts w:ascii="Calibri Light" w:hAnsi="Calibri Light"/>
      <w:iCs/>
      <w:color w:val="404040" w:themeColor="text1" w:themeTint="BF"/>
      <w:sz w:val="19"/>
    </w:rPr>
  </w:style>
  <w:style w:type="character" w:customStyle="1" w:styleId="UnresolvedMention1">
    <w:name w:val="Unresolved Mention1"/>
    <w:basedOn w:val="DefaultParagraphFont"/>
    <w:uiPriority w:val="99"/>
    <w:semiHidden/>
    <w:unhideWhenUsed/>
    <w:rsid w:val="00897DFD"/>
    <w:rPr>
      <w:color w:val="808080"/>
      <w:shd w:val="clear" w:color="auto" w:fill="E6E6E6"/>
    </w:rPr>
  </w:style>
  <w:style w:type="paragraph" w:styleId="Header">
    <w:name w:val="header"/>
    <w:basedOn w:val="Normal"/>
    <w:link w:val="HeaderChar"/>
    <w:uiPriority w:val="99"/>
    <w:unhideWhenUsed/>
    <w:rsid w:val="006854D7"/>
    <w:pPr>
      <w:tabs>
        <w:tab w:val="center" w:pos="4680"/>
        <w:tab w:val="right" w:pos="9360"/>
      </w:tabs>
    </w:pPr>
  </w:style>
  <w:style w:type="character" w:customStyle="1" w:styleId="HeaderChar">
    <w:name w:val="Header Char"/>
    <w:basedOn w:val="DefaultParagraphFont"/>
    <w:link w:val="Header"/>
    <w:uiPriority w:val="99"/>
    <w:rsid w:val="006854D7"/>
    <w:rPr>
      <w:rFonts w:ascii="Calibri Light" w:hAnsi="Calibri Light"/>
      <w:sz w:val="21"/>
    </w:rPr>
  </w:style>
  <w:style w:type="paragraph" w:styleId="Footer">
    <w:name w:val="footer"/>
    <w:basedOn w:val="Normal"/>
    <w:link w:val="FooterChar"/>
    <w:uiPriority w:val="99"/>
    <w:unhideWhenUsed/>
    <w:rsid w:val="006854D7"/>
    <w:pPr>
      <w:tabs>
        <w:tab w:val="center" w:pos="4680"/>
        <w:tab w:val="right" w:pos="9360"/>
      </w:tabs>
    </w:pPr>
  </w:style>
  <w:style w:type="character" w:customStyle="1" w:styleId="FooterChar">
    <w:name w:val="Footer Char"/>
    <w:basedOn w:val="DefaultParagraphFont"/>
    <w:link w:val="Footer"/>
    <w:uiPriority w:val="99"/>
    <w:rsid w:val="006854D7"/>
    <w:rPr>
      <w:rFonts w:ascii="Calibri Light" w:hAnsi="Calibri Light"/>
      <w:sz w:val="21"/>
    </w:rPr>
  </w:style>
  <w:style w:type="character" w:customStyle="1" w:styleId="FootnoteTextChar2">
    <w:name w:val="Footnote Text Char2"/>
    <w:aliases w:val="Footnote Text Char Char1,stile 1 Char1,Footnote Char1,Footnote1 Char1,Footnote2 Char1,Footnote3 Char1,Footnote4 Char1,Footnote5 Char1,Footnote6 Char1,Footnote7 Char1,Footnote8 Char1,Footnote9 Char1,Footnote10 Char1,Footnote11 Char1"/>
    <w:uiPriority w:val="99"/>
    <w:locked/>
    <w:rsid w:val="00F01978"/>
    <w:rPr>
      <w:rFonts w:ascii="Arial" w:hAnsi="Arial" w:cs="Arial"/>
      <w:sz w:val="17"/>
      <w:szCs w:val="17"/>
      <w:lang w:val="en-GB" w:eastAsia="pl-PL"/>
    </w:rPr>
  </w:style>
  <w:style w:type="paragraph" w:styleId="CommentText">
    <w:name w:val="annotation text"/>
    <w:basedOn w:val="Normal"/>
    <w:link w:val="CommentTextChar"/>
    <w:rsid w:val="00627132"/>
    <w:pPr>
      <w:spacing w:after="80"/>
      <w:contextualSpacing w:val="0"/>
    </w:pPr>
    <w:rPr>
      <w:rFonts w:ascii="Arial" w:eastAsia="Times New Roman" w:hAnsi="Arial" w:cs="Arial"/>
      <w:szCs w:val="20"/>
      <w:lang w:val="en-GB" w:eastAsia="pl-PL"/>
    </w:rPr>
  </w:style>
  <w:style w:type="character" w:customStyle="1" w:styleId="CommentTextChar">
    <w:name w:val="Comment Text Char"/>
    <w:basedOn w:val="DefaultParagraphFont"/>
    <w:link w:val="CommentText"/>
    <w:rsid w:val="00627132"/>
    <w:rPr>
      <w:rFonts w:ascii="Arial" w:eastAsia="Times New Roman" w:hAnsi="Arial" w:cs="Arial"/>
      <w:sz w:val="20"/>
      <w:szCs w:val="20"/>
      <w:lang w:val="en-GB" w:eastAsia="pl-PL"/>
    </w:rPr>
  </w:style>
  <w:style w:type="character" w:styleId="CommentReference">
    <w:name w:val="annotation reference"/>
    <w:basedOn w:val="DefaultParagraphFont"/>
    <w:rsid w:val="00627132"/>
    <w:rPr>
      <w:rFonts w:cs="Times New Roman"/>
      <w:sz w:val="16"/>
      <w:szCs w:val="16"/>
    </w:rPr>
  </w:style>
  <w:style w:type="paragraph" w:styleId="BalloonText">
    <w:name w:val="Balloon Text"/>
    <w:basedOn w:val="Normal"/>
    <w:link w:val="BalloonTextChar"/>
    <w:uiPriority w:val="99"/>
    <w:semiHidden/>
    <w:unhideWhenUsed/>
    <w:rsid w:val="00627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32"/>
    <w:rPr>
      <w:rFonts w:ascii="Segoe UI" w:hAnsi="Segoe UI" w:cs="Segoe UI"/>
      <w:sz w:val="18"/>
      <w:szCs w:val="18"/>
    </w:rPr>
  </w:style>
  <w:style w:type="character" w:styleId="Strong">
    <w:name w:val="Strong"/>
    <w:basedOn w:val="DefaultParagraphFont"/>
    <w:uiPriority w:val="22"/>
    <w:qFormat/>
    <w:rsid w:val="00816E9D"/>
    <w:rPr>
      <w:b/>
      <w:bCs/>
    </w:rPr>
  </w:style>
  <w:style w:type="table" w:customStyle="1" w:styleId="TableGridLight1">
    <w:name w:val="Table Grid Light1"/>
    <w:basedOn w:val="TableNormal"/>
    <w:uiPriority w:val="40"/>
    <w:rsid w:val="004D2F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4220BE"/>
    <w:pPr>
      <w:spacing w:after="0"/>
      <w:contextualSpacing/>
    </w:pPr>
    <w:rPr>
      <w:rFonts w:ascii="Calibri Light" w:eastAsiaTheme="minorHAnsi" w:hAnsi="Calibri Light" w:cstheme="minorBidi"/>
      <w:b/>
      <w:bCs/>
      <w:lang w:val="hr-HR" w:eastAsia="en-US"/>
    </w:rPr>
  </w:style>
  <w:style w:type="character" w:customStyle="1" w:styleId="CommentSubjectChar">
    <w:name w:val="Comment Subject Char"/>
    <w:basedOn w:val="CommentTextChar"/>
    <w:link w:val="CommentSubject"/>
    <w:uiPriority w:val="99"/>
    <w:semiHidden/>
    <w:rsid w:val="004220BE"/>
    <w:rPr>
      <w:rFonts w:ascii="Calibri Light" w:eastAsia="Times New Roman" w:hAnsi="Calibri Light" w:cs="Arial"/>
      <w:b/>
      <w:bCs/>
      <w:sz w:val="20"/>
      <w:szCs w:val="20"/>
      <w:lang w:val="en-GB" w:eastAsia="pl-PL"/>
    </w:rPr>
  </w:style>
  <w:style w:type="paragraph" w:styleId="NormalWeb">
    <w:name w:val="Normal (Web)"/>
    <w:basedOn w:val="Normal"/>
    <w:uiPriority w:val="99"/>
    <w:semiHidden/>
    <w:unhideWhenUsed/>
    <w:rsid w:val="00DC7F33"/>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64DBA"/>
    <w:rPr>
      <w:color w:val="808080"/>
      <w:shd w:val="clear" w:color="auto" w:fill="E6E6E6"/>
    </w:rPr>
  </w:style>
  <w:style w:type="character" w:customStyle="1" w:styleId="Heading3Char">
    <w:name w:val="Heading 3 Char"/>
    <w:basedOn w:val="DefaultParagraphFont"/>
    <w:link w:val="Heading3"/>
    <w:uiPriority w:val="9"/>
    <w:rsid w:val="00DC5657"/>
    <w:rPr>
      <w:rFonts w:asciiTheme="majorHAnsi" w:eastAsiaTheme="majorEastAsia" w:hAnsiTheme="majorHAnsi" w:cstheme="majorBidi"/>
      <w:color w:val="243F60" w:themeColor="accent1" w:themeShade="7F"/>
      <w:sz w:val="24"/>
      <w:szCs w:val="24"/>
    </w:rPr>
  </w:style>
  <w:style w:type="paragraph" w:customStyle="1" w:styleId="Default">
    <w:name w:val="Default"/>
    <w:rsid w:val="004D6E32"/>
    <w:pPr>
      <w:autoSpaceDE w:val="0"/>
      <w:autoSpaceDN w:val="0"/>
      <w:adjustRightInd w:val="0"/>
      <w:spacing w:after="0" w:line="240" w:lineRule="auto"/>
    </w:pPr>
    <w:rPr>
      <w:rFonts w:ascii="Avenir Heavy" w:hAnsi="Avenir Heavy" w:cs="Avenir Heavy"/>
      <w:color w:val="000000"/>
      <w:sz w:val="24"/>
      <w:szCs w:val="24"/>
      <w:lang w:val="en-US"/>
    </w:rPr>
  </w:style>
  <w:style w:type="character" w:styleId="Emphasis">
    <w:name w:val="Emphasis"/>
    <w:basedOn w:val="DefaultParagraphFont"/>
    <w:uiPriority w:val="20"/>
    <w:qFormat/>
    <w:rsid w:val="00162848"/>
    <w:rPr>
      <w:i/>
      <w:iCs/>
    </w:rPr>
  </w:style>
  <w:style w:type="paragraph" w:customStyle="1" w:styleId="first-para">
    <w:name w:val="first-para"/>
    <w:basedOn w:val="Normal"/>
    <w:rsid w:val="00C26B9B"/>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styleId="HTMLAcronym">
    <w:name w:val="HTML Acronym"/>
    <w:basedOn w:val="DefaultParagraphFont"/>
    <w:uiPriority w:val="99"/>
    <w:semiHidden/>
    <w:unhideWhenUsed/>
    <w:rsid w:val="00407A65"/>
  </w:style>
  <w:style w:type="character" w:customStyle="1" w:styleId="UnresolvedMention">
    <w:name w:val="Unresolved Mention"/>
    <w:basedOn w:val="DefaultParagraphFont"/>
    <w:uiPriority w:val="99"/>
    <w:semiHidden/>
    <w:unhideWhenUsed/>
    <w:rsid w:val="00FD1DC8"/>
    <w:rPr>
      <w:color w:val="808080"/>
      <w:shd w:val="clear" w:color="auto" w:fill="E6E6E6"/>
    </w:rPr>
  </w:style>
  <w:style w:type="table" w:customStyle="1" w:styleId="GridTable1Light">
    <w:name w:val="Grid Table 1 Light"/>
    <w:basedOn w:val="TableNormal"/>
    <w:uiPriority w:val="46"/>
    <w:rsid w:val="004874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82DD5"/>
    <w:pPr>
      <w:spacing w:after="0" w:line="240" w:lineRule="auto"/>
      <w:contextualSpacing/>
      <w:jc w:val="both"/>
    </w:pPr>
    <w:rPr>
      <w:rFonts w:ascii="Segoe UI Semilight" w:hAnsi="Segoe UI Semilight"/>
      <w:sz w:val="20"/>
    </w:rPr>
  </w:style>
  <w:style w:type="character" w:customStyle="1" w:styleId="NoSpacingChar">
    <w:name w:val="No Spacing Char"/>
    <w:basedOn w:val="DefaultParagraphFont"/>
    <w:link w:val="NoSpacing"/>
    <w:uiPriority w:val="1"/>
    <w:rsid w:val="00F82DD5"/>
    <w:rPr>
      <w:rFonts w:ascii="Segoe UI Semilight" w:hAnsi="Segoe UI Semilight"/>
      <w:sz w:val="20"/>
    </w:rPr>
  </w:style>
  <w:style w:type="paragraph" w:styleId="TOC1">
    <w:name w:val="toc 1"/>
    <w:basedOn w:val="Normal"/>
    <w:next w:val="Normal"/>
    <w:autoRedefine/>
    <w:uiPriority w:val="39"/>
    <w:unhideWhenUsed/>
    <w:rsid w:val="00F82DD5"/>
    <w:pPr>
      <w:spacing w:after="100"/>
    </w:pPr>
  </w:style>
  <w:style w:type="paragraph" w:styleId="TOC2">
    <w:name w:val="toc 2"/>
    <w:basedOn w:val="Normal"/>
    <w:next w:val="Normal"/>
    <w:autoRedefine/>
    <w:uiPriority w:val="39"/>
    <w:unhideWhenUsed/>
    <w:rsid w:val="00F82DD5"/>
    <w:pPr>
      <w:spacing w:after="100"/>
      <w:ind w:left="200"/>
    </w:pPr>
  </w:style>
  <w:style w:type="paragraph" w:styleId="HTMLPreformatted">
    <w:name w:val="HTML Preformatted"/>
    <w:basedOn w:val="Normal"/>
    <w:link w:val="HTMLPreformattedChar"/>
    <w:uiPriority w:val="99"/>
    <w:unhideWhenUsed/>
    <w:rsid w:val="00A4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A404E9"/>
    <w:rPr>
      <w:rFonts w:ascii="Courier New" w:eastAsia="Times New Roman" w:hAnsi="Courier New" w:cs="Courier New"/>
      <w:sz w:val="20"/>
      <w:szCs w:val="20"/>
      <w:lang w:val="en-US"/>
    </w:rPr>
  </w:style>
  <w:style w:type="paragraph" w:styleId="Caption">
    <w:name w:val="caption"/>
    <w:basedOn w:val="Normal"/>
    <w:next w:val="Normal"/>
    <w:qFormat/>
    <w:rsid w:val="00433CA3"/>
    <w:pPr>
      <w:contextualSpacing w:val="0"/>
      <w:jc w:val="center"/>
    </w:pPr>
    <w:rPr>
      <w:rFonts w:ascii="Times New Roman" w:eastAsia="MS Mincho" w:hAnsi="Times New Roman" w:cs="Times New Roman"/>
      <w:b/>
      <w:bCs/>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after="0" w:line="240" w:lineRule="auto"/>
      <w:contextualSpacing/>
      <w:jc w:val="both"/>
    </w:pPr>
    <w:rPr>
      <w:rFonts w:ascii="Segoe UI Semilight" w:hAnsi="Segoe UI Semilight"/>
      <w:sz w:val="20"/>
    </w:rPr>
  </w:style>
  <w:style w:type="paragraph" w:styleId="Heading1">
    <w:name w:val="heading 1"/>
    <w:basedOn w:val="Normal"/>
    <w:next w:val="Normal"/>
    <w:link w:val="Heading1Char"/>
    <w:uiPriority w:val="9"/>
    <w:qFormat/>
    <w:rsid w:val="006F33CB"/>
    <w:pPr>
      <w:keepNext/>
      <w:keepLines/>
      <w:spacing w:before="120" w:after="120"/>
      <w:outlineLvl w:val="0"/>
    </w:pPr>
    <w:rPr>
      <w:rFonts w:eastAsiaTheme="majorEastAsia" w:cstheme="majorBidi"/>
      <w:color w:val="0079A4"/>
      <w:sz w:val="28"/>
      <w:szCs w:val="32"/>
    </w:rPr>
  </w:style>
  <w:style w:type="paragraph" w:styleId="Heading2">
    <w:name w:val="heading 2"/>
    <w:basedOn w:val="Normal"/>
    <w:next w:val="Normal"/>
    <w:link w:val="Heading2Char"/>
    <w:uiPriority w:val="9"/>
    <w:unhideWhenUsed/>
    <w:qFormat/>
    <w:rsid w:val="006F33CB"/>
    <w:pPr>
      <w:keepNext/>
      <w:keepLines/>
      <w:spacing w:before="120" w:after="120"/>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DC56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60D1F"/>
    <w:pPr>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C60D1F"/>
    <w:rPr>
      <w:rFonts w:ascii="Calibri Light" w:eastAsiaTheme="majorEastAsia" w:hAnsi="Calibri Light" w:cstheme="majorBidi"/>
      <w:spacing w:val="-10"/>
      <w:kern w:val="28"/>
      <w:sz w:val="28"/>
      <w:szCs w:val="56"/>
    </w:rPr>
  </w:style>
  <w:style w:type="character" w:customStyle="1" w:styleId="Heading1Char">
    <w:name w:val="Heading 1 Char"/>
    <w:basedOn w:val="DefaultParagraphFont"/>
    <w:link w:val="Heading1"/>
    <w:uiPriority w:val="9"/>
    <w:rsid w:val="006F33CB"/>
    <w:rPr>
      <w:rFonts w:ascii="Calibri Light" w:eastAsiaTheme="majorEastAsia" w:hAnsi="Calibri Light" w:cstheme="majorBidi"/>
      <w:color w:val="0079A4"/>
      <w:sz w:val="28"/>
      <w:szCs w:val="32"/>
    </w:rPr>
  </w:style>
  <w:style w:type="character" w:customStyle="1" w:styleId="Heading2Char">
    <w:name w:val="Heading 2 Char"/>
    <w:basedOn w:val="DefaultParagraphFont"/>
    <w:link w:val="Heading2"/>
    <w:uiPriority w:val="9"/>
    <w:rsid w:val="006F33CB"/>
    <w:rPr>
      <w:rFonts w:ascii="Calibri Light" w:eastAsiaTheme="majorEastAsia" w:hAnsi="Calibri Light" w:cstheme="majorBidi"/>
      <w:color w:val="365F91" w:themeColor="accent1" w:themeShade="BF"/>
      <w:sz w:val="24"/>
      <w:szCs w:val="26"/>
    </w:rPr>
  </w:style>
  <w:style w:type="paragraph" w:styleId="ListParagraph">
    <w:name w:val="List Paragraph"/>
    <w:basedOn w:val="Normal"/>
    <w:uiPriority w:val="34"/>
    <w:qFormat/>
    <w:rsid w:val="006F33CB"/>
    <w:pPr>
      <w:ind w:left="720"/>
    </w:pPr>
  </w:style>
  <w:style w:type="table" w:customStyle="1" w:styleId="PlainTable21">
    <w:name w:val="Plain Table 21"/>
    <w:basedOn w:val="TableNormal"/>
    <w:uiPriority w:val="42"/>
    <w:rsid w:val="00E432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03927"/>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04F48"/>
    <w:pPr>
      <w:contextualSpacing w:val="0"/>
    </w:pPr>
    <w:rPr>
      <w:sz w:val="17"/>
      <w:szCs w:val="20"/>
      <w:lang w:val="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04F48"/>
    <w:rPr>
      <w:rFonts w:ascii="Segoe UI Semilight" w:hAnsi="Segoe UI Semilight"/>
      <w:sz w:val="17"/>
      <w:szCs w:val="20"/>
      <w:lang w:val="en-US"/>
    </w:rPr>
  </w:style>
  <w:style w:type="character" w:styleId="FootnoteReference">
    <w:name w:val="footnote reference"/>
    <w:basedOn w:val="DefaultParagraphFont"/>
    <w:uiPriority w:val="99"/>
    <w:semiHidden/>
    <w:unhideWhenUsed/>
    <w:qFormat/>
    <w:rsid w:val="004D0620"/>
    <w:rPr>
      <w:vertAlign w:val="superscript"/>
    </w:rPr>
  </w:style>
  <w:style w:type="character" w:styleId="FollowedHyperlink">
    <w:name w:val="FollowedHyperlink"/>
    <w:basedOn w:val="DefaultParagraphFont"/>
    <w:uiPriority w:val="99"/>
    <w:semiHidden/>
    <w:unhideWhenUsed/>
    <w:rsid w:val="00743499"/>
    <w:rPr>
      <w:color w:val="800080" w:themeColor="followedHyperlink"/>
      <w:u w:val="single"/>
    </w:rPr>
  </w:style>
  <w:style w:type="paragraph" w:styleId="Quote">
    <w:name w:val="Quote"/>
    <w:basedOn w:val="Normal"/>
    <w:next w:val="Normal"/>
    <w:link w:val="QuoteChar"/>
    <w:uiPriority w:val="29"/>
    <w:qFormat/>
    <w:rsid w:val="0022457E"/>
    <w:pPr>
      <w:spacing w:before="200" w:after="160"/>
      <w:ind w:left="864" w:right="864"/>
    </w:pPr>
    <w:rPr>
      <w:iCs/>
      <w:color w:val="404040" w:themeColor="text1" w:themeTint="BF"/>
      <w:sz w:val="19"/>
    </w:rPr>
  </w:style>
  <w:style w:type="character" w:customStyle="1" w:styleId="QuoteChar">
    <w:name w:val="Quote Char"/>
    <w:basedOn w:val="DefaultParagraphFont"/>
    <w:link w:val="Quote"/>
    <w:uiPriority w:val="29"/>
    <w:rsid w:val="0022457E"/>
    <w:rPr>
      <w:rFonts w:ascii="Calibri Light" w:hAnsi="Calibri Light"/>
      <w:iCs/>
      <w:color w:val="404040" w:themeColor="text1" w:themeTint="BF"/>
      <w:sz w:val="19"/>
    </w:rPr>
  </w:style>
  <w:style w:type="character" w:customStyle="1" w:styleId="UnresolvedMention1">
    <w:name w:val="Unresolved Mention1"/>
    <w:basedOn w:val="DefaultParagraphFont"/>
    <w:uiPriority w:val="99"/>
    <w:semiHidden/>
    <w:unhideWhenUsed/>
    <w:rsid w:val="00897DFD"/>
    <w:rPr>
      <w:color w:val="808080"/>
      <w:shd w:val="clear" w:color="auto" w:fill="E6E6E6"/>
    </w:rPr>
  </w:style>
  <w:style w:type="paragraph" w:styleId="Header">
    <w:name w:val="header"/>
    <w:basedOn w:val="Normal"/>
    <w:link w:val="HeaderChar"/>
    <w:uiPriority w:val="99"/>
    <w:unhideWhenUsed/>
    <w:rsid w:val="006854D7"/>
    <w:pPr>
      <w:tabs>
        <w:tab w:val="center" w:pos="4680"/>
        <w:tab w:val="right" w:pos="9360"/>
      </w:tabs>
    </w:pPr>
  </w:style>
  <w:style w:type="character" w:customStyle="1" w:styleId="HeaderChar">
    <w:name w:val="Header Char"/>
    <w:basedOn w:val="DefaultParagraphFont"/>
    <w:link w:val="Header"/>
    <w:uiPriority w:val="99"/>
    <w:rsid w:val="006854D7"/>
    <w:rPr>
      <w:rFonts w:ascii="Calibri Light" w:hAnsi="Calibri Light"/>
      <w:sz w:val="21"/>
    </w:rPr>
  </w:style>
  <w:style w:type="paragraph" w:styleId="Footer">
    <w:name w:val="footer"/>
    <w:basedOn w:val="Normal"/>
    <w:link w:val="FooterChar"/>
    <w:uiPriority w:val="99"/>
    <w:unhideWhenUsed/>
    <w:rsid w:val="006854D7"/>
    <w:pPr>
      <w:tabs>
        <w:tab w:val="center" w:pos="4680"/>
        <w:tab w:val="right" w:pos="9360"/>
      </w:tabs>
    </w:pPr>
  </w:style>
  <w:style w:type="character" w:customStyle="1" w:styleId="FooterChar">
    <w:name w:val="Footer Char"/>
    <w:basedOn w:val="DefaultParagraphFont"/>
    <w:link w:val="Footer"/>
    <w:uiPriority w:val="99"/>
    <w:rsid w:val="006854D7"/>
    <w:rPr>
      <w:rFonts w:ascii="Calibri Light" w:hAnsi="Calibri Light"/>
      <w:sz w:val="21"/>
    </w:rPr>
  </w:style>
  <w:style w:type="character" w:customStyle="1" w:styleId="FootnoteTextChar2">
    <w:name w:val="Footnote Text Char2"/>
    <w:aliases w:val="Footnote Text Char Char1,stile 1 Char1,Footnote Char1,Footnote1 Char1,Footnote2 Char1,Footnote3 Char1,Footnote4 Char1,Footnote5 Char1,Footnote6 Char1,Footnote7 Char1,Footnote8 Char1,Footnote9 Char1,Footnote10 Char1,Footnote11 Char1"/>
    <w:uiPriority w:val="99"/>
    <w:locked/>
    <w:rsid w:val="00F01978"/>
    <w:rPr>
      <w:rFonts w:ascii="Arial" w:hAnsi="Arial" w:cs="Arial"/>
      <w:sz w:val="17"/>
      <w:szCs w:val="17"/>
      <w:lang w:val="en-GB" w:eastAsia="pl-PL"/>
    </w:rPr>
  </w:style>
  <w:style w:type="paragraph" w:styleId="CommentText">
    <w:name w:val="annotation text"/>
    <w:basedOn w:val="Normal"/>
    <w:link w:val="CommentTextChar"/>
    <w:rsid w:val="00627132"/>
    <w:pPr>
      <w:spacing w:after="80"/>
      <w:contextualSpacing w:val="0"/>
    </w:pPr>
    <w:rPr>
      <w:rFonts w:ascii="Arial" w:eastAsia="Times New Roman" w:hAnsi="Arial" w:cs="Arial"/>
      <w:szCs w:val="20"/>
      <w:lang w:val="en-GB" w:eastAsia="pl-PL"/>
    </w:rPr>
  </w:style>
  <w:style w:type="character" w:customStyle="1" w:styleId="CommentTextChar">
    <w:name w:val="Comment Text Char"/>
    <w:basedOn w:val="DefaultParagraphFont"/>
    <w:link w:val="CommentText"/>
    <w:rsid w:val="00627132"/>
    <w:rPr>
      <w:rFonts w:ascii="Arial" w:eastAsia="Times New Roman" w:hAnsi="Arial" w:cs="Arial"/>
      <w:sz w:val="20"/>
      <w:szCs w:val="20"/>
      <w:lang w:val="en-GB" w:eastAsia="pl-PL"/>
    </w:rPr>
  </w:style>
  <w:style w:type="character" w:styleId="CommentReference">
    <w:name w:val="annotation reference"/>
    <w:basedOn w:val="DefaultParagraphFont"/>
    <w:rsid w:val="00627132"/>
    <w:rPr>
      <w:rFonts w:cs="Times New Roman"/>
      <w:sz w:val="16"/>
      <w:szCs w:val="16"/>
    </w:rPr>
  </w:style>
  <w:style w:type="paragraph" w:styleId="BalloonText">
    <w:name w:val="Balloon Text"/>
    <w:basedOn w:val="Normal"/>
    <w:link w:val="BalloonTextChar"/>
    <w:uiPriority w:val="99"/>
    <w:semiHidden/>
    <w:unhideWhenUsed/>
    <w:rsid w:val="00627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32"/>
    <w:rPr>
      <w:rFonts w:ascii="Segoe UI" w:hAnsi="Segoe UI" w:cs="Segoe UI"/>
      <w:sz w:val="18"/>
      <w:szCs w:val="18"/>
    </w:rPr>
  </w:style>
  <w:style w:type="character" w:styleId="Strong">
    <w:name w:val="Strong"/>
    <w:basedOn w:val="DefaultParagraphFont"/>
    <w:uiPriority w:val="22"/>
    <w:qFormat/>
    <w:rsid w:val="00816E9D"/>
    <w:rPr>
      <w:b/>
      <w:bCs/>
    </w:rPr>
  </w:style>
  <w:style w:type="table" w:customStyle="1" w:styleId="TableGridLight1">
    <w:name w:val="Table Grid Light1"/>
    <w:basedOn w:val="TableNormal"/>
    <w:uiPriority w:val="40"/>
    <w:rsid w:val="004D2F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4220BE"/>
    <w:pPr>
      <w:spacing w:after="0"/>
      <w:contextualSpacing/>
    </w:pPr>
    <w:rPr>
      <w:rFonts w:ascii="Calibri Light" w:eastAsiaTheme="minorHAnsi" w:hAnsi="Calibri Light" w:cstheme="minorBidi"/>
      <w:b/>
      <w:bCs/>
      <w:lang w:val="hr-HR" w:eastAsia="en-US"/>
    </w:rPr>
  </w:style>
  <w:style w:type="character" w:customStyle="1" w:styleId="CommentSubjectChar">
    <w:name w:val="Comment Subject Char"/>
    <w:basedOn w:val="CommentTextChar"/>
    <w:link w:val="CommentSubject"/>
    <w:uiPriority w:val="99"/>
    <w:semiHidden/>
    <w:rsid w:val="004220BE"/>
    <w:rPr>
      <w:rFonts w:ascii="Calibri Light" w:eastAsia="Times New Roman" w:hAnsi="Calibri Light" w:cs="Arial"/>
      <w:b/>
      <w:bCs/>
      <w:sz w:val="20"/>
      <w:szCs w:val="20"/>
      <w:lang w:val="en-GB" w:eastAsia="pl-PL"/>
    </w:rPr>
  </w:style>
  <w:style w:type="paragraph" w:styleId="NormalWeb">
    <w:name w:val="Normal (Web)"/>
    <w:basedOn w:val="Normal"/>
    <w:uiPriority w:val="99"/>
    <w:semiHidden/>
    <w:unhideWhenUsed/>
    <w:rsid w:val="00DC7F33"/>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64DBA"/>
    <w:rPr>
      <w:color w:val="808080"/>
      <w:shd w:val="clear" w:color="auto" w:fill="E6E6E6"/>
    </w:rPr>
  </w:style>
  <w:style w:type="character" w:customStyle="1" w:styleId="Heading3Char">
    <w:name w:val="Heading 3 Char"/>
    <w:basedOn w:val="DefaultParagraphFont"/>
    <w:link w:val="Heading3"/>
    <w:uiPriority w:val="9"/>
    <w:rsid w:val="00DC5657"/>
    <w:rPr>
      <w:rFonts w:asciiTheme="majorHAnsi" w:eastAsiaTheme="majorEastAsia" w:hAnsiTheme="majorHAnsi" w:cstheme="majorBidi"/>
      <w:color w:val="243F60" w:themeColor="accent1" w:themeShade="7F"/>
      <w:sz w:val="24"/>
      <w:szCs w:val="24"/>
    </w:rPr>
  </w:style>
  <w:style w:type="paragraph" w:customStyle="1" w:styleId="Default">
    <w:name w:val="Default"/>
    <w:rsid w:val="004D6E32"/>
    <w:pPr>
      <w:autoSpaceDE w:val="0"/>
      <w:autoSpaceDN w:val="0"/>
      <w:adjustRightInd w:val="0"/>
      <w:spacing w:after="0" w:line="240" w:lineRule="auto"/>
    </w:pPr>
    <w:rPr>
      <w:rFonts w:ascii="Avenir Heavy" w:hAnsi="Avenir Heavy" w:cs="Avenir Heavy"/>
      <w:color w:val="000000"/>
      <w:sz w:val="24"/>
      <w:szCs w:val="24"/>
      <w:lang w:val="en-US"/>
    </w:rPr>
  </w:style>
  <w:style w:type="character" w:styleId="Emphasis">
    <w:name w:val="Emphasis"/>
    <w:basedOn w:val="DefaultParagraphFont"/>
    <w:uiPriority w:val="20"/>
    <w:qFormat/>
    <w:rsid w:val="00162848"/>
    <w:rPr>
      <w:i/>
      <w:iCs/>
    </w:rPr>
  </w:style>
  <w:style w:type="paragraph" w:customStyle="1" w:styleId="first-para">
    <w:name w:val="first-para"/>
    <w:basedOn w:val="Normal"/>
    <w:rsid w:val="00C26B9B"/>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styleId="HTMLAcronym">
    <w:name w:val="HTML Acronym"/>
    <w:basedOn w:val="DefaultParagraphFont"/>
    <w:uiPriority w:val="99"/>
    <w:semiHidden/>
    <w:unhideWhenUsed/>
    <w:rsid w:val="00407A65"/>
  </w:style>
  <w:style w:type="character" w:customStyle="1" w:styleId="UnresolvedMention">
    <w:name w:val="Unresolved Mention"/>
    <w:basedOn w:val="DefaultParagraphFont"/>
    <w:uiPriority w:val="99"/>
    <w:semiHidden/>
    <w:unhideWhenUsed/>
    <w:rsid w:val="00FD1DC8"/>
    <w:rPr>
      <w:color w:val="808080"/>
      <w:shd w:val="clear" w:color="auto" w:fill="E6E6E6"/>
    </w:rPr>
  </w:style>
  <w:style w:type="table" w:customStyle="1" w:styleId="GridTable1Light">
    <w:name w:val="Grid Table 1 Light"/>
    <w:basedOn w:val="TableNormal"/>
    <w:uiPriority w:val="46"/>
    <w:rsid w:val="004874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F82DD5"/>
    <w:pPr>
      <w:spacing w:after="0" w:line="240" w:lineRule="auto"/>
      <w:contextualSpacing/>
      <w:jc w:val="both"/>
    </w:pPr>
    <w:rPr>
      <w:rFonts w:ascii="Segoe UI Semilight" w:hAnsi="Segoe UI Semilight"/>
      <w:sz w:val="20"/>
    </w:rPr>
  </w:style>
  <w:style w:type="character" w:customStyle="1" w:styleId="NoSpacingChar">
    <w:name w:val="No Spacing Char"/>
    <w:basedOn w:val="DefaultParagraphFont"/>
    <w:link w:val="NoSpacing"/>
    <w:uiPriority w:val="1"/>
    <w:rsid w:val="00F82DD5"/>
    <w:rPr>
      <w:rFonts w:ascii="Segoe UI Semilight" w:hAnsi="Segoe UI Semilight"/>
      <w:sz w:val="20"/>
    </w:rPr>
  </w:style>
  <w:style w:type="paragraph" w:styleId="TOC1">
    <w:name w:val="toc 1"/>
    <w:basedOn w:val="Normal"/>
    <w:next w:val="Normal"/>
    <w:autoRedefine/>
    <w:uiPriority w:val="39"/>
    <w:unhideWhenUsed/>
    <w:rsid w:val="00F82DD5"/>
    <w:pPr>
      <w:spacing w:after="100"/>
    </w:pPr>
  </w:style>
  <w:style w:type="paragraph" w:styleId="TOC2">
    <w:name w:val="toc 2"/>
    <w:basedOn w:val="Normal"/>
    <w:next w:val="Normal"/>
    <w:autoRedefine/>
    <w:uiPriority w:val="39"/>
    <w:unhideWhenUsed/>
    <w:rsid w:val="00F82DD5"/>
    <w:pPr>
      <w:spacing w:after="100"/>
      <w:ind w:left="200"/>
    </w:pPr>
  </w:style>
  <w:style w:type="paragraph" w:styleId="HTMLPreformatted">
    <w:name w:val="HTML Preformatted"/>
    <w:basedOn w:val="Normal"/>
    <w:link w:val="HTMLPreformattedChar"/>
    <w:uiPriority w:val="99"/>
    <w:unhideWhenUsed/>
    <w:rsid w:val="00A4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A404E9"/>
    <w:rPr>
      <w:rFonts w:ascii="Courier New" w:eastAsia="Times New Roman" w:hAnsi="Courier New" w:cs="Courier New"/>
      <w:sz w:val="20"/>
      <w:szCs w:val="20"/>
      <w:lang w:val="en-US"/>
    </w:rPr>
  </w:style>
  <w:style w:type="paragraph" w:styleId="Caption">
    <w:name w:val="caption"/>
    <w:basedOn w:val="Normal"/>
    <w:next w:val="Normal"/>
    <w:qFormat/>
    <w:rsid w:val="00433CA3"/>
    <w:pPr>
      <w:contextualSpacing w:val="0"/>
      <w:jc w:val="center"/>
    </w:pPr>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992">
      <w:bodyDiv w:val="1"/>
      <w:marLeft w:val="0"/>
      <w:marRight w:val="0"/>
      <w:marTop w:val="0"/>
      <w:marBottom w:val="0"/>
      <w:divBdr>
        <w:top w:val="none" w:sz="0" w:space="0" w:color="auto"/>
        <w:left w:val="none" w:sz="0" w:space="0" w:color="auto"/>
        <w:bottom w:val="none" w:sz="0" w:space="0" w:color="auto"/>
        <w:right w:val="none" w:sz="0" w:space="0" w:color="auto"/>
      </w:divBdr>
    </w:div>
    <w:div w:id="185826222">
      <w:bodyDiv w:val="1"/>
      <w:marLeft w:val="0"/>
      <w:marRight w:val="0"/>
      <w:marTop w:val="0"/>
      <w:marBottom w:val="0"/>
      <w:divBdr>
        <w:top w:val="none" w:sz="0" w:space="0" w:color="auto"/>
        <w:left w:val="none" w:sz="0" w:space="0" w:color="auto"/>
        <w:bottom w:val="none" w:sz="0" w:space="0" w:color="auto"/>
        <w:right w:val="none" w:sz="0" w:space="0" w:color="auto"/>
      </w:divBdr>
    </w:div>
    <w:div w:id="203367695">
      <w:bodyDiv w:val="1"/>
      <w:marLeft w:val="0"/>
      <w:marRight w:val="0"/>
      <w:marTop w:val="0"/>
      <w:marBottom w:val="0"/>
      <w:divBdr>
        <w:top w:val="none" w:sz="0" w:space="0" w:color="auto"/>
        <w:left w:val="none" w:sz="0" w:space="0" w:color="auto"/>
        <w:bottom w:val="none" w:sz="0" w:space="0" w:color="auto"/>
        <w:right w:val="none" w:sz="0" w:space="0" w:color="auto"/>
      </w:divBdr>
    </w:div>
    <w:div w:id="541405786">
      <w:bodyDiv w:val="1"/>
      <w:marLeft w:val="0"/>
      <w:marRight w:val="0"/>
      <w:marTop w:val="0"/>
      <w:marBottom w:val="0"/>
      <w:divBdr>
        <w:top w:val="none" w:sz="0" w:space="0" w:color="auto"/>
        <w:left w:val="none" w:sz="0" w:space="0" w:color="auto"/>
        <w:bottom w:val="none" w:sz="0" w:space="0" w:color="auto"/>
        <w:right w:val="none" w:sz="0" w:space="0" w:color="auto"/>
      </w:divBdr>
    </w:div>
    <w:div w:id="710879885">
      <w:bodyDiv w:val="1"/>
      <w:marLeft w:val="0"/>
      <w:marRight w:val="0"/>
      <w:marTop w:val="0"/>
      <w:marBottom w:val="0"/>
      <w:divBdr>
        <w:top w:val="none" w:sz="0" w:space="0" w:color="auto"/>
        <w:left w:val="none" w:sz="0" w:space="0" w:color="auto"/>
        <w:bottom w:val="none" w:sz="0" w:space="0" w:color="auto"/>
        <w:right w:val="none" w:sz="0" w:space="0" w:color="auto"/>
      </w:divBdr>
    </w:div>
    <w:div w:id="871452777">
      <w:bodyDiv w:val="1"/>
      <w:marLeft w:val="0"/>
      <w:marRight w:val="0"/>
      <w:marTop w:val="0"/>
      <w:marBottom w:val="0"/>
      <w:divBdr>
        <w:top w:val="none" w:sz="0" w:space="0" w:color="auto"/>
        <w:left w:val="none" w:sz="0" w:space="0" w:color="auto"/>
        <w:bottom w:val="none" w:sz="0" w:space="0" w:color="auto"/>
        <w:right w:val="none" w:sz="0" w:space="0" w:color="auto"/>
      </w:divBdr>
    </w:div>
    <w:div w:id="961225442">
      <w:bodyDiv w:val="1"/>
      <w:marLeft w:val="0"/>
      <w:marRight w:val="0"/>
      <w:marTop w:val="0"/>
      <w:marBottom w:val="0"/>
      <w:divBdr>
        <w:top w:val="none" w:sz="0" w:space="0" w:color="auto"/>
        <w:left w:val="none" w:sz="0" w:space="0" w:color="auto"/>
        <w:bottom w:val="none" w:sz="0" w:space="0" w:color="auto"/>
        <w:right w:val="none" w:sz="0" w:space="0" w:color="auto"/>
      </w:divBdr>
    </w:div>
    <w:div w:id="1029725071">
      <w:bodyDiv w:val="1"/>
      <w:marLeft w:val="0"/>
      <w:marRight w:val="0"/>
      <w:marTop w:val="0"/>
      <w:marBottom w:val="0"/>
      <w:divBdr>
        <w:top w:val="none" w:sz="0" w:space="0" w:color="auto"/>
        <w:left w:val="none" w:sz="0" w:space="0" w:color="auto"/>
        <w:bottom w:val="none" w:sz="0" w:space="0" w:color="auto"/>
        <w:right w:val="none" w:sz="0" w:space="0" w:color="auto"/>
      </w:divBdr>
    </w:div>
    <w:div w:id="1044477156">
      <w:bodyDiv w:val="1"/>
      <w:marLeft w:val="0"/>
      <w:marRight w:val="0"/>
      <w:marTop w:val="0"/>
      <w:marBottom w:val="0"/>
      <w:divBdr>
        <w:top w:val="none" w:sz="0" w:space="0" w:color="auto"/>
        <w:left w:val="none" w:sz="0" w:space="0" w:color="auto"/>
        <w:bottom w:val="none" w:sz="0" w:space="0" w:color="auto"/>
        <w:right w:val="none" w:sz="0" w:space="0" w:color="auto"/>
      </w:divBdr>
    </w:div>
    <w:div w:id="1070813986">
      <w:bodyDiv w:val="1"/>
      <w:marLeft w:val="0"/>
      <w:marRight w:val="0"/>
      <w:marTop w:val="0"/>
      <w:marBottom w:val="0"/>
      <w:divBdr>
        <w:top w:val="none" w:sz="0" w:space="0" w:color="auto"/>
        <w:left w:val="none" w:sz="0" w:space="0" w:color="auto"/>
        <w:bottom w:val="none" w:sz="0" w:space="0" w:color="auto"/>
        <w:right w:val="none" w:sz="0" w:space="0" w:color="auto"/>
      </w:divBdr>
    </w:div>
    <w:div w:id="1236473735">
      <w:bodyDiv w:val="1"/>
      <w:marLeft w:val="0"/>
      <w:marRight w:val="0"/>
      <w:marTop w:val="0"/>
      <w:marBottom w:val="0"/>
      <w:divBdr>
        <w:top w:val="none" w:sz="0" w:space="0" w:color="auto"/>
        <w:left w:val="none" w:sz="0" w:space="0" w:color="auto"/>
        <w:bottom w:val="none" w:sz="0" w:space="0" w:color="auto"/>
        <w:right w:val="none" w:sz="0" w:space="0" w:color="auto"/>
      </w:divBdr>
    </w:div>
    <w:div w:id="1433165412">
      <w:bodyDiv w:val="1"/>
      <w:marLeft w:val="0"/>
      <w:marRight w:val="0"/>
      <w:marTop w:val="0"/>
      <w:marBottom w:val="0"/>
      <w:divBdr>
        <w:top w:val="none" w:sz="0" w:space="0" w:color="auto"/>
        <w:left w:val="none" w:sz="0" w:space="0" w:color="auto"/>
        <w:bottom w:val="none" w:sz="0" w:space="0" w:color="auto"/>
        <w:right w:val="none" w:sz="0" w:space="0" w:color="auto"/>
      </w:divBdr>
    </w:div>
    <w:div w:id="1561668777">
      <w:bodyDiv w:val="1"/>
      <w:marLeft w:val="0"/>
      <w:marRight w:val="0"/>
      <w:marTop w:val="0"/>
      <w:marBottom w:val="0"/>
      <w:divBdr>
        <w:top w:val="none" w:sz="0" w:space="0" w:color="auto"/>
        <w:left w:val="none" w:sz="0" w:space="0" w:color="auto"/>
        <w:bottom w:val="none" w:sz="0" w:space="0" w:color="auto"/>
        <w:right w:val="none" w:sz="0" w:space="0" w:color="auto"/>
      </w:divBdr>
    </w:div>
    <w:div w:id="1711224034">
      <w:bodyDiv w:val="1"/>
      <w:marLeft w:val="0"/>
      <w:marRight w:val="0"/>
      <w:marTop w:val="0"/>
      <w:marBottom w:val="0"/>
      <w:divBdr>
        <w:top w:val="none" w:sz="0" w:space="0" w:color="auto"/>
        <w:left w:val="none" w:sz="0" w:space="0" w:color="auto"/>
        <w:bottom w:val="none" w:sz="0" w:space="0" w:color="auto"/>
        <w:right w:val="none" w:sz="0" w:space="0" w:color="auto"/>
      </w:divBdr>
    </w:div>
    <w:div w:id="1747999146">
      <w:bodyDiv w:val="1"/>
      <w:marLeft w:val="0"/>
      <w:marRight w:val="0"/>
      <w:marTop w:val="0"/>
      <w:marBottom w:val="0"/>
      <w:divBdr>
        <w:top w:val="none" w:sz="0" w:space="0" w:color="auto"/>
        <w:left w:val="none" w:sz="0" w:space="0" w:color="auto"/>
        <w:bottom w:val="none" w:sz="0" w:space="0" w:color="auto"/>
        <w:right w:val="none" w:sz="0" w:space="0" w:color="auto"/>
      </w:divBdr>
    </w:div>
    <w:div w:id="1998457793">
      <w:bodyDiv w:val="1"/>
      <w:marLeft w:val="0"/>
      <w:marRight w:val="0"/>
      <w:marTop w:val="0"/>
      <w:marBottom w:val="0"/>
      <w:divBdr>
        <w:top w:val="none" w:sz="0" w:space="0" w:color="auto"/>
        <w:left w:val="none" w:sz="0" w:space="0" w:color="auto"/>
        <w:bottom w:val="none" w:sz="0" w:space="0" w:color="auto"/>
        <w:right w:val="none" w:sz="0" w:space="0" w:color="auto"/>
      </w:divBdr>
      <w:divsChild>
        <w:div w:id="1595941363">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qm.rks-gov.net/Portals/0/Final%20Report%20on%20Funding%20NGOs%20from%20state%20budget_ENG.pdf" TargetMode="External"/><Relationship Id="rId18" Type="http://schemas.openxmlformats.org/officeDocument/2006/relationships/hyperlink" Target="http://konsultimet.rks-gov.net/index.php" TargetMode="External"/><Relationship Id="rId3" Type="http://schemas.openxmlformats.org/officeDocument/2006/relationships/styles" Target="styles.xml"/><Relationship Id="rId21" Type="http://schemas.openxmlformats.org/officeDocument/2006/relationships/hyperlink" Target="https://zqm.rks-gov.net/Portals/0/Final%20Report%20on%20Funding%20NGOs%20from%20state%20budget_ENG.pdf" TargetMode="External"/><Relationship Id="rId7" Type="http://schemas.openxmlformats.org/officeDocument/2006/relationships/footnotes" Target="footnotes.xml"/><Relationship Id="rId12" Type="http://schemas.openxmlformats.org/officeDocument/2006/relationships/hyperlink" Target="http://konsultimet.rks-gov.net/index.php"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dsindexnz.org/" TargetMode="External"/><Relationship Id="rId20" Type="http://schemas.openxmlformats.org/officeDocument/2006/relationships/hyperlink" Target="https://zqm.rks-gov.net/sq-al/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qm.rks-gov.net/Portals/0/Regulation%20on%20minimum%20standard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yeministri-ks.net/repository/docs/Draft_Udhezimi_Administrativ_Per_Strategjite_FINAL_2012__2_.pdf" TargetMode="External"/><Relationship Id="rId23" Type="http://schemas.openxmlformats.org/officeDocument/2006/relationships/footer" Target="footer1.xml"/><Relationship Id="rId10" Type="http://schemas.openxmlformats.org/officeDocument/2006/relationships/hyperlink" Target="http://www.kryeministri-ks.net/repository/docs/Strategjia_qeveritare_per_bashkepunim_me_shoqerine_civile_drafti_perfundimtar_(2).pdf" TargetMode="External"/><Relationship Id="rId19" Type="http://schemas.openxmlformats.org/officeDocument/2006/relationships/hyperlink" Target="https://zqm.rks-gov.net/Portals/0/Regulation%20on%20minimum%20standards.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gzk.rks-gov.net/ActDetail.aspx?ActID=1483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civikos.net/repository/docs/Monitoring_report_on_implementation_of_the_Strategy_720688.pdf" TargetMode="External"/><Relationship Id="rId18" Type="http://schemas.openxmlformats.org/officeDocument/2006/relationships/hyperlink" Target="file:///C:\Users\Visar%20Sutaj\Downloads\Monitoring%20Matrix_Kosovo%20Report%202016.pdf" TargetMode="External"/><Relationship Id="rId26" Type="http://schemas.openxmlformats.org/officeDocument/2006/relationships/hyperlink" Target="http://www.kryeministri-ks.net/repository/docs/ANG-Final-Raport_Vjetor_i_Punes_se_Qeverise_per_vitin_2016_final.pdf" TargetMode="External"/><Relationship Id="rId39" Type="http://schemas.openxmlformats.org/officeDocument/2006/relationships/hyperlink" Target="http://civikos.net/repository/docs/Monitoring_report_on_implementation_of_the_Strategy_720688.pdf" TargetMode="External"/><Relationship Id="rId21" Type="http://schemas.openxmlformats.org/officeDocument/2006/relationships/hyperlink" Target="C://Users/Visar%20Sutaj/Downloads/Monitoring%20Matrix_Kosovo%20Report%202016.pdf" TargetMode="External"/><Relationship Id="rId34" Type="http://schemas.openxmlformats.org/officeDocument/2006/relationships/hyperlink" Target="http://civikos.net/repository/docs/Monitoring_report_on_implementation_of_the_Strategy_720688.pdf" TargetMode="External"/><Relationship Id="rId42" Type="http://schemas.openxmlformats.org/officeDocument/2006/relationships/hyperlink" Target="https://ec.europa.eu/neighbourhood-enlargement/sites/near/files/pdf/key_documents/2016/20161109_report_kosovo.pdf" TargetMode="External"/><Relationship Id="rId47" Type="http://schemas.openxmlformats.org/officeDocument/2006/relationships/hyperlink" Target="https://ec.europa.eu/neighbourhood-enlargement/sites/near/files/pdf/civil_society/doc_guidelines_cs_support.pdf" TargetMode="External"/><Relationship Id="rId50" Type="http://schemas.openxmlformats.org/officeDocument/2006/relationships/hyperlink" Target="http://www.kryeministri-ks.net/repository/docs/Government_Programme_2015-2018_eng_10_mars.pdf" TargetMode="External"/><Relationship Id="rId55" Type="http://schemas.openxmlformats.org/officeDocument/2006/relationships/hyperlink" Target="https://www.mei-ks.net/repository/docs/3_pkzmsa_miratuar_nga_kuvendi_final_eng_.pdf" TargetMode="External"/><Relationship Id="rId7" Type="http://schemas.openxmlformats.org/officeDocument/2006/relationships/hyperlink" Target="http://civikos.net/repository/docs/Termat_e_references_-_verzioni_i_fundit-_shqip__878796_390166.pdf" TargetMode="External"/><Relationship Id="rId2" Type="http://schemas.openxmlformats.org/officeDocument/2006/relationships/hyperlink" Target="http://www.kryeministri-ks.net/repository/docs/Strategjia_qeveritare_per_bashkepunim_me_shoqerine_civile_drafti_perfundimtar_(2).pdf" TargetMode="External"/><Relationship Id="rId16" Type="http://schemas.openxmlformats.org/officeDocument/2006/relationships/hyperlink" Target="http://civikos.net/repository/docs/Monitoring_report_on_implementation_of_the_Strategy_720688.pdf" TargetMode="External"/><Relationship Id="rId20" Type="http://schemas.openxmlformats.org/officeDocument/2006/relationships/hyperlink" Target="http://civikos.net/repository/docs/Monitoring_report_on_implementation_of_the_Strategy_720688.pdf" TargetMode="External"/><Relationship Id="rId29" Type="http://schemas.openxmlformats.org/officeDocument/2006/relationships/hyperlink" Target="http://civikos.net/repository/docs/Monitoring_report_on_implementation_of_the_Strategy_720688.pdf" TargetMode="External"/><Relationship Id="rId41" Type="http://schemas.openxmlformats.org/officeDocument/2006/relationships/hyperlink" Target="https://ec.europa.eu/neighbourhood-enlargement/sites/near/files/pdf/key_documents/2016/20161109_report_kosovo.pdf" TargetMode="External"/><Relationship Id="rId54" Type="http://schemas.openxmlformats.org/officeDocument/2006/relationships/hyperlink" Target="http://www.kryeministri-ks.net/repository/docs/Better_Regulation_Strategy_2014_-_2020.pdf" TargetMode="External"/><Relationship Id="rId62" Type="http://schemas.openxmlformats.org/officeDocument/2006/relationships/hyperlink" Target="https://ec.europa.eu/neighbourhood-enlargement/sites/near/files/pdf/key_documents/2015/20151110_strategy_paper_en.pdf" TargetMode="External"/><Relationship Id="rId1" Type="http://schemas.openxmlformats.org/officeDocument/2006/relationships/hyperlink" Target="http://www.kryeministri-ks.net/repository/docs/Kosovo-EU_SAA_Final_2.pdf" TargetMode="External"/><Relationship Id="rId6" Type="http://schemas.openxmlformats.org/officeDocument/2006/relationships/hyperlink" Target="http://civikos.net/repository/docs/Monitoring_report_on_implementation_of_the_Strategy_720688.pdf" TargetMode="External"/><Relationship Id="rId11" Type="http://schemas.openxmlformats.org/officeDocument/2006/relationships/hyperlink" Target="http://civikos.net/repository/docs/Monitoring_report_on_implementation_of_the_Strategy_720688.pdf" TargetMode="External"/><Relationship Id="rId24" Type="http://schemas.openxmlformats.org/officeDocument/2006/relationships/hyperlink" Target="http://www.tacso.org/doc/doc2016_nar_ko.pdf" TargetMode="External"/><Relationship Id="rId32" Type="http://schemas.openxmlformats.org/officeDocument/2006/relationships/hyperlink" Target="http://civikos.net/repository/docs/Monitoring_report_on_implementation_of_the_Strategy_720688.pdf" TargetMode="External"/><Relationship Id="rId37" Type="http://schemas.openxmlformats.org/officeDocument/2006/relationships/hyperlink" Target="http://civikos.net/repository/docs/Monitoring_report_on_implementation_of_the_Strategy_720688.pdf" TargetMode="External"/><Relationship Id="rId40" Type="http://schemas.openxmlformats.org/officeDocument/2006/relationships/hyperlink" Target="https://ec.europa.eu/neighbourhood-enlargement/sites/near/files/pdf/key_documents/2016/20161109_report_kosovo.pdf" TargetMode="External"/><Relationship Id="rId45" Type="http://schemas.openxmlformats.org/officeDocument/2006/relationships/hyperlink" Target="https://ec.europa.eu/neighbourhood-enlargement/sites/near/files/pdf/civil_society/doc_guidelines_cs_support.pdf" TargetMode="External"/><Relationship Id="rId53" Type="http://schemas.openxmlformats.org/officeDocument/2006/relationships/hyperlink" Target="http://www.kryeministri-ks.net/repository/docs/Better_Regulation_Strategy_2014_-_2020.pdf" TargetMode="External"/><Relationship Id="rId58" Type="http://schemas.openxmlformats.org/officeDocument/2006/relationships/hyperlink" Target="https://ec.europa.eu/neighbourhood-enlargement/sites/near/files/pdf/key_documents/2016/20161109_strategy_paper_en.pdf" TargetMode="External"/><Relationship Id="rId5" Type="http://schemas.openxmlformats.org/officeDocument/2006/relationships/hyperlink" Target="http://www.kryeministri-ks.net/repository/docs/Strategjia_qeveritare_per_bashkepunim_me_shoqerine_civile_drafti_perfundimtar_(2).pdf" TargetMode="External"/><Relationship Id="rId15" Type="http://schemas.openxmlformats.org/officeDocument/2006/relationships/hyperlink" Target="http://civikos.net/repository/docs/Monitoring_report_on_implementation_of_the_Strategy_720688.pdf" TargetMode="External"/><Relationship Id="rId23" Type="http://schemas.openxmlformats.org/officeDocument/2006/relationships/hyperlink" Target="http://civikos.net/repository/docs/Monitoring_report_on_implementation_of_the_Strategy_720688.pdf" TargetMode="External"/><Relationship Id="rId28" Type="http://schemas.openxmlformats.org/officeDocument/2006/relationships/hyperlink" Target="https://gzk.rks-gov.net/ActDetail.aspx?ActID=14831" TargetMode="External"/><Relationship Id="rId36" Type="http://schemas.openxmlformats.org/officeDocument/2006/relationships/hyperlink" Target="http://civikos.net/repository/docs/Monitoring_report_on_implementation_of_the_Strategy_720688.pdf" TargetMode="External"/><Relationship Id="rId49" Type="http://schemas.openxmlformats.org/officeDocument/2006/relationships/hyperlink" Target="https://ec.europa.eu/neighbourhood-enlargement/sites/near/files/pdf/civil_society/doc_guidelines_cs_support.pdf" TargetMode="External"/><Relationship Id="rId57" Type="http://schemas.openxmlformats.org/officeDocument/2006/relationships/hyperlink" Target="https://ec.europa.eu/neighbourhood-enlargement/sites/near/files/pdf/key_documents/2016/20161109_strategy_paper_en.pdf" TargetMode="External"/><Relationship Id="rId61" Type="http://schemas.openxmlformats.org/officeDocument/2006/relationships/hyperlink" Target="http://www.kryeministri-ks.net/repository/docs/Kosovo-EU_SAA_Final_2.pdf" TargetMode="External"/><Relationship Id="rId10" Type="http://schemas.openxmlformats.org/officeDocument/2006/relationships/hyperlink" Target="http://civikos.net/repository/docs/Monitoring_report_on_implementation_of_the_Strategy_720688.pdf" TargetMode="External"/><Relationship Id="rId19" Type="http://schemas.openxmlformats.org/officeDocument/2006/relationships/hyperlink" Target="http://civikos.net/repository/docs/Monitoring_report_on_implementation_of_the_Strategy_720688.pdf" TargetMode="External"/><Relationship Id="rId31" Type="http://schemas.openxmlformats.org/officeDocument/2006/relationships/hyperlink" Target="http://civikos.net/repository/docs/Monitoring_report_on_implementation_of_the_Strategy_720688.pdf" TargetMode="External"/><Relationship Id="rId44" Type="http://schemas.openxmlformats.org/officeDocument/2006/relationships/hyperlink" Target="https://ec.europa.eu/neighbourhood-enlargement/sites/near/files/pdf/key_documents/2016/20161109_report_kosovo.pdf" TargetMode="External"/><Relationship Id="rId52" Type="http://schemas.openxmlformats.org/officeDocument/2006/relationships/hyperlink" Target="http://www.kryeministri-ks.net/repository/docs/Strategy-for-Modernisation-of-PA-2015-2020.pdf" TargetMode="External"/><Relationship Id="rId60" Type="http://schemas.openxmlformats.org/officeDocument/2006/relationships/hyperlink" Target="https://ec.europa.eu/neighbourhood-enlargement/sites/near/files/pdf/key_documents/2016/20161109_strategy_paper_en.pdf" TargetMode="External"/><Relationship Id="rId4" Type="http://schemas.openxmlformats.org/officeDocument/2006/relationships/hyperlink" Target="http://civikos.net/repository/docs/Monitoring_report_on_implementation_of_the_Strategy_720688.pdf" TargetMode="External"/><Relationship Id="rId9" Type="http://schemas.openxmlformats.org/officeDocument/2006/relationships/hyperlink" Target="http://civikos.net/repository/docs/Termat_e_references_-_verzioni_i_fundit-_shqip__878796_390166.pdf" TargetMode="External"/><Relationship Id="rId14" Type="http://schemas.openxmlformats.org/officeDocument/2006/relationships/hyperlink" Target="http://civikos.net/repository/docs/Monitoring_report_on_implementation_of_the_Strategy_720688.pdf" TargetMode="External"/><Relationship Id="rId22" Type="http://schemas.openxmlformats.org/officeDocument/2006/relationships/hyperlink" Target="http://civikos.net/repository/docs/Monitoring_report_on_implementation_of_the_Strategy_720688.pdf" TargetMode="External"/><Relationship Id="rId27" Type="http://schemas.openxmlformats.org/officeDocument/2006/relationships/hyperlink" Target="http://www.tacso.org/doc/doc2016_nar_ko.pdf" TargetMode="External"/><Relationship Id="rId30" Type="http://schemas.openxmlformats.org/officeDocument/2006/relationships/hyperlink" Target="http://civikos.net/repository/docs/Monitoring_report_on_implementation_of_the_Strategy_720688.pdf" TargetMode="External"/><Relationship Id="rId35" Type="http://schemas.openxmlformats.org/officeDocument/2006/relationships/hyperlink" Target="https://ec.europa.eu/neighbourhood-enlargement/sites/near/files/pdf/key_documents/2016/20161109_report_kosovo.pdf" TargetMode="External"/><Relationship Id="rId43" Type="http://schemas.openxmlformats.org/officeDocument/2006/relationships/hyperlink" Target="http://www.kryeministri-ks.net/repository/docs/Strategjia_qeveritare_per_bashkepunim_me_shoqerine_civile_drafti_perfundimtar_(2).pdf" TargetMode="External"/><Relationship Id="rId48" Type="http://schemas.openxmlformats.org/officeDocument/2006/relationships/hyperlink" Target="https://ec.europa.eu/neighbourhood-enlargement/sites/near/files/pdf/key_documents/2016/20161109_report_kosovo.pdf" TargetMode="External"/><Relationship Id="rId56" Type="http://schemas.openxmlformats.org/officeDocument/2006/relationships/hyperlink" Target="https://ec.europa.eu/neighbourhood-enlargement/sites/near/files/pdf/key_documents/2016/20161109_strategy_paper_en.pdf" TargetMode="External"/><Relationship Id="rId8" Type="http://schemas.openxmlformats.org/officeDocument/2006/relationships/hyperlink" Target="http://civikos.net/repository/docs/Monitoring_report_on_implementation_of_the_Strategy_720688.pdf" TargetMode="External"/><Relationship Id="rId51" Type="http://schemas.openxmlformats.org/officeDocument/2006/relationships/hyperlink" Target="http://www.kryeministri-ks.net/repository/docs/National_Development_Strategy_2016-2021_ENG.pdf" TargetMode="External"/><Relationship Id="rId3" Type="http://schemas.openxmlformats.org/officeDocument/2006/relationships/hyperlink" Target="http://civikos.net/repository/docs/Vendimi_per_aprovimin_e_Strategjise__-_mbledhja_e_138_226363(1)_559524.pdf" TargetMode="External"/><Relationship Id="rId12" Type="http://schemas.openxmlformats.org/officeDocument/2006/relationships/hyperlink" Target="http://www.kryeministri-ks.net/repository/docs/Draft_Udhezimi_Administrativ_Per_Strategjite_FINAL_2012__2_.pdf" TargetMode="External"/><Relationship Id="rId17" Type="http://schemas.openxmlformats.org/officeDocument/2006/relationships/hyperlink" Target="http://civikos.net/repository/docs/Monitoring_report_on_implementation_of_the_Strategy_720688.pdf" TargetMode="External"/><Relationship Id="rId25" Type="http://schemas.openxmlformats.org/officeDocument/2006/relationships/hyperlink" Target="http://www.tacso.org/doc/doc2016_nar_ko.pdf" TargetMode="External"/><Relationship Id="rId33" Type="http://schemas.openxmlformats.org/officeDocument/2006/relationships/hyperlink" Target="http://civikos.net/repository/docs/Monitoring_report_on_implementation_of_the_Strategy_720688.pdf" TargetMode="External"/><Relationship Id="rId38" Type="http://schemas.openxmlformats.org/officeDocument/2006/relationships/hyperlink" Target="http://civikos.net/repository/docs/Monitoring_report_on_implementation_of_the_Strategy_720688.pdf" TargetMode="External"/><Relationship Id="rId46" Type="http://schemas.openxmlformats.org/officeDocument/2006/relationships/hyperlink" Target="https://ec.europa.eu/neighbourhood-enlargement/sites/near/files/pdf/key_documents/2016/20161109_report_kosovo.pdf" TargetMode="External"/><Relationship Id="rId59" Type="http://schemas.openxmlformats.org/officeDocument/2006/relationships/hyperlink" Target="http://www.oecd.org/officialdocuments/publicdisplaydocumentpdf/?cote=GOV/SIGMA(2015)1/REV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50BF-E4AD-435B-9130-13E08CD9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15705</Words>
  <Characters>89519</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Vlerësimi i Implementimit të Strategjisë së Qeverisë për Bashkëpunim me Shoqërinë Civile (2013-2017)</vt:lpstr>
    </vt:vector>
  </TitlesOfParts>
  <Company>8 Nëntor  2017 Prishtina, Kosovo</Company>
  <LinksUpToDate>false</LinksUpToDate>
  <CharactersWithSpaces>105014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Vlerësimi i Implementimit të Strategjisë së Qeverisë për Bashkëpunim me Shoqërinë Civile (2013-2017)</dc:title>
  <dc:creator>Visar Sutaj</dc:creator>
  <cp:lastModifiedBy>Besa Morina</cp:lastModifiedBy>
  <cp:revision>2</cp:revision>
  <cp:lastPrinted>2017-11-07T11:56:00Z</cp:lastPrinted>
  <dcterms:created xsi:type="dcterms:W3CDTF">2019-01-09T13:34:00Z</dcterms:created>
  <dcterms:modified xsi:type="dcterms:W3CDTF">2019-01-09T13:34:00Z</dcterms:modified>
</cp:coreProperties>
</file>